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B2" w:rsidRPr="00AD6BB2" w:rsidRDefault="00AD6BB2" w:rsidP="00AD6BB2">
      <w:pPr>
        <w:shd w:val="clear" w:color="auto" w:fill="FFFFFF"/>
        <w:spacing w:after="0"/>
        <w:ind w:left="0" w:right="0" w:firstLine="0"/>
        <w:jc w:val="center"/>
        <w:textAlignment w:val="baseline"/>
        <w:outlineLvl w:val="0"/>
        <w:rPr>
          <w:rFonts w:ascii="Arial" w:eastAsia="Times New Roman" w:hAnsi="Arial" w:cs="Arial"/>
          <w:b/>
          <w:bCs/>
          <w:color w:val="2D2D2D"/>
          <w:spacing w:val="2"/>
          <w:kern w:val="36"/>
          <w:sz w:val="46"/>
          <w:szCs w:val="46"/>
          <w:lang w:eastAsia="ru-RU"/>
        </w:rPr>
      </w:pPr>
      <w:r w:rsidRPr="00AD6BB2">
        <w:rPr>
          <w:rFonts w:ascii="Arial" w:eastAsia="Times New Roman" w:hAnsi="Arial" w:cs="Arial"/>
          <w:b/>
          <w:bCs/>
          <w:color w:val="2D2D2D"/>
          <w:spacing w:val="2"/>
          <w:kern w:val="36"/>
          <w:sz w:val="46"/>
          <w:szCs w:val="46"/>
          <w:lang w:eastAsia="ru-RU"/>
        </w:rPr>
        <w:t>Об утверждении СП 3.1.7.3148-13 "Профилактика Крымской геморрагической лихорадки"</w:t>
      </w:r>
    </w:p>
    <w:p w:rsidR="00AD6BB2" w:rsidRPr="00AD6BB2" w:rsidRDefault="00AD6BB2" w:rsidP="00AD6BB2">
      <w:pPr>
        <w:shd w:val="clear" w:color="auto" w:fill="FFFFFF"/>
        <w:spacing w:after="0"/>
        <w:ind w:left="0" w:right="0" w:firstLine="0"/>
        <w:textAlignment w:val="baseline"/>
        <w:rPr>
          <w:rFonts w:ascii="Arial" w:eastAsia="Times New Roman" w:hAnsi="Arial" w:cs="Arial"/>
          <w:color w:val="242424"/>
          <w:spacing w:val="2"/>
          <w:sz w:val="18"/>
          <w:szCs w:val="18"/>
          <w:lang w:eastAsia="ru-RU"/>
        </w:rPr>
      </w:pPr>
      <w:r w:rsidRPr="00AD6BB2">
        <w:rPr>
          <w:rFonts w:ascii="Arial" w:eastAsia="Times New Roman" w:hAnsi="Arial" w:cs="Arial"/>
          <w:color w:val="242424"/>
          <w:spacing w:val="2"/>
          <w:sz w:val="18"/>
          <w:szCs w:val="18"/>
          <w:lang w:eastAsia="ru-RU"/>
        </w:rPr>
        <w:br/>
      </w:r>
    </w:p>
    <w:p w:rsidR="00AD6BB2" w:rsidRPr="00AD6BB2" w:rsidRDefault="00AD6BB2" w:rsidP="00AD6BB2">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AD6BB2" w:rsidRPr="00AD6BB2" w:rsidRDefault="00AD6BB2" w:rsidP="00AD6BB2">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ПОСТАНОВЛЕНИЕ</w:t>
      </w:r>
    </w:p>
    <w:p w:rsidR="00AD6BB2" w:rsidRPr="00AD6BB2" w:rsidRDefault="00AD6BB2" w:rsidP="00AD6BB2">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от 18 декабря 2013 года N 67</w:t>
      </w:r>
    </w:p>
    <w:p w:rsidR="00AD6BB2" w:rsidRPr="00AD6BB2" w:rsidRDefault="00AD6BB2" w:rsidP="00AD6BB2">
      <w:pPr>
        <w:shd w:val="clear" w:color="auto" w:fill="FFFFFF"/>
        <w:spacing w:before="150" w:after="75"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Об утверждении СП 3.1.7.3148-13 "Профилактика Крымской геморрагической лихорадки"</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xml:space="preserve">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w:t>
      </w:r>
      <w:hyperlink r:id="rId4" w:history="1">
        <w:r w:rsidRPr="00AD6BB2">
          <w:rPr>
            <w:rFonts w:ascii="Arial" w:eastAsia="Times New Roman" w:hAnsi="Arial" w:cs="Arial"/>
            <w:color w:val="00466E"/>
            <w:spacing w:val="2"/>
            <w:sz w:val="21"/>
            <w:u w:val="single"/>
            <w:lang w:eastAsia="ru-RU"/>
          </w:rPr>
          <w:t>Федеральным законом от 30.03.99 N 52-ФЗ "О санитарно-эпидемиологическом благополучии населения"</w:t>
        </w:r>
      </w:hyperlink>
      <w:r w:rsidRPr="00AD6BB2">
        <w:rPr>
          <w:rFonts w:ascii="Arial" w:eastAsia="Times New Roman" w:hAnsi="Arial" w:cs="Arial"/>
          <w:color w:val="2D2D2D"/>
          <w:spacing w:val="2"/>
          <w:sz w:val="21"/>
          <w:szCs w:val="21"/>
          <w:lang w:eastAsia="ru-RU"/>
        </w:rPr>
        <w:t xml:space="preserve"> (Собрание законодательства Российской Федерации, 1999, N 14, ст.1650; 2002, N 1 (ч.1), ст.2; 2003, N 2, ст.167; N 27 (ч.1), ст.2700; 2004, N 35, ст.3607; 2005, N 19, ст.1752; </w:t>
      </w:r>
      <w:proofErr w:type="gramStart"/>
      <w:r w:rsidRPr="00AD6BB2">
        <w:rPr>
          <w:rFonts w:ascii="Arial" w:eastAsia="Times New Roman" w:hAnsi="Arial" w:cs="Arial"/>
          <w:color w:val="2D2D2D"/>
          <w:spacing w:val="2"/>
          <w:sz w:val="21"/>
          <w:szCs w:val="21"/>
          <w:lang w:eastAsia="ru-RU"/>
        </w:rPr>
        <w:t>2006, N 1, ст.10; N 52 (ч.1), ст.5498; 2007, N 1 (ч.1), ст.21, ст.29; N 27, ст.3213; N 46, ст.5554; N 49, ст.6070; 2008, N 24, ст.2801; N 29 (ч.1), ст.3418; N 30 (ч.2), ст.3616; N 44, ст.4984;</w:t>
      </w:r>
      <w:proofErr w:type="gramEnd"/>
      <w:r w:rsidRPr="00AD6BB2">
        <w:rPr>
          <w:rFonts w:ascii="Arial" w:eastAsia="Times New Roman" w:hAnsi="Arial" w:cs="Arial"/>
          <w:color w:val="2D2D2D"/>
          <w:spacing w:val="2"/>
          <w:sz w:val="21"/>
          <w:szCs w:val="21"/>
          <w:lang w:eastAsia="ru-RU"/>
        </w:rPr>
        <w:t xml:space="preserve"> </w:t>
      </w:r>
      <w:proofErr w:type="gramStart"/>
      <w:r w:rsidRPr="00AD6BB2">
        <w:rPr>
          <w:rFonts w:ascii="Arial" w:eastAsia="Times New Roman" w:hAnsi="Arial" w:cs="Arial"/>
          <w:color w:val="2D2D2D"/>
          <w:spacing w:val="2"/>
          <w:sz w:val="21"/>
          <w:szCs w:val="21"/>
          <w:lang w:eastAsia="ru-RU"/>
        </w:rPr>
        <w:t>N 52 (ч.1), ст.6223; 2009, N 1, ст.17; 2010, N 40, ст.4969; 2011, N 1, ст.6; N 30 (ч.1), ст.4563, ст.4590, ст.4591, ст.4596; N 50, ст.7359; 2012, N 24, ст.3069; N 26, ст.3446; 2013, N 27, ст.3477;</w:t>
      </w:r>
      <w:proofErr w:type="gramEnd"/>
      <w:r w:rsidRPr="00AD6BB2">
        <w:rPr>
          <w:rFonts w:ascii="Arial" w:eastAsia="Times New Roman" w:hAnsi="Arial" w:cs="Arial"/>
          <w:color w:val="2D2D2D"/>
          <w:spacing w:val="2"/>
          <w:sz w:val="21"/>
          <w:szCs w:val="21"/>
          <w:lang w:eastAsia="ru-RU"/>
        </w:rPr>
        <w:t xml:space="preserve"> </w:t>
      </w:r>
      <w:proofErr w:type="gramStart"/>
      <w:r w:rsidRPr="00AD6BB2">
        <w:rPr>
          <w:rFonts w:ascii="Arial" w:eastAsia="Times New Roman" w:hAnsi="Arial" w:cs="Arial"/>
          <w:color w:val="2D2D2D"/>
          <w:spacing w:val="2"/>
          <w:sz w:val="21"/>
          <w:szCs w:val="21"/>
          <w:lang w:eastAsia="ru-RU"/>
        </w:rPr>
        <w:t>N 30 (ч.1), ст.4079; N 48, ст.6165 и </w:t>
      </w:r>
      <w:hyperlink r:id="rId5" w:history="1">
        <w:r w:rsidRPr="00AD6BB2">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AD6BB2">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w:t>
      </w:r>
      <w:proofErr w:type="gramEnd"/>
      <w:r w:rsidRPr="00AD6BB2">
        <w:rPr>
          <w:rFonts w:ascii="Arial" w:eastAsia="Times New Roman" w:hAnsi="Arial" w:cs="Arial"/>
          <w:color w:val="2D2D2D"/>
          <w:spacing w:val="2"/>
          <w:sz w:val="21"/>
          <w:szCs w:val="21"/>
          <w:lang w:eastAsia="ru-RU"/>
        </w:rPr>
        <w:t xml:space="preserve"> </w:t>
      </w:r>
      <w:proofErr w:type="gramStart"/>
      <w:r w:rsidRPr="00AD6BB2">
        <w:rPr>
          <w:rFonts w:ascii="Arial" w:eastAsia="Times New Roman" w:hAnsi="Arial" w:cs="Arial"/>
          <w:color w:val="2D2D2D"/>
          <w:spacing w:val="2"/>
          <w:sz w:val="21"/>
          <w:szCs w:val="21"/>
          <w:lang w:eastAsia="ru-RU"/>
        </w:rPr>
        <w:t>2005, N 39, ст.3953)</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постановляю:</w:t>
      </w:r>
      <w:proofErr w:type="gramEnd"/>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Утвердить санитарно-эпидемиологические правила СП 3.1.7.3148-13 "Профилактика Крымской геморрагической лихорадки" (приложение).</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Врио Главного государственного</w:t>
      </w:r>
      <w:r w:rsidRPr="00AD6BB2">
        <w:rPr>
          <w:rFonts w:ascii="Arial" w:eastAsia="Times New Roman" w:hAnsi="Arial" w:cs="Arial"/>
          <w:color w:val="2D2D2D"/>
          <w:spacing w:val="2"/>
          <w:sz w:val="21"/>
          <w:szCs w:val="21"/>
          <w:lang w:eastAsia="ru-RU"/>
        </w:rPr>
        <w:br/>
        <w:t>санитарного врача</w:t>
      </w:r>
      <w:r w:rsidRPr="00AD6BB2">
        <w:rPr>
          <w:rFonts w:ascii="Arial" w:eastAsia="Times New Roman" w:hAnsi="Arial" w:cs="Arial"/>
          <w:color w:val="2D2D2D"/>
          <w:spacing w:val="2"/>
          <w:sz w:val="21"/>
          <w:szCs w:val="21"/>
          <w:lang w:eastAsia="ru-RU"/>
        </w:rPr>
        <w:br/>
        <w:t>Российской Федерации</w:t>
      </w:r>
      <w:r w:rsidRPr="00AD6BB2">
        <w:rPr>
          <w:rFonts w:ascii="Arial" w:eastAsia="Times New Roman" w:hAnsi="Arial" w:cs="Arial"/>
          <w:color w:val="2D2D2D"/>
          <w:spacing w:val="2"/>
          <w:sz w:val="21"/>
          <w:szCs w:val="21"/>
          <w:lang w:eastAsia="ru-RU"/>
        </w:rPr>
        <w:br/>
        <w:t>А.Попова</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t>Зарегистрировано</w:t>
      </w:r>
      <w:r w:rsidRPr="00AD6BB2">
        <w:rPr>
          <w:rFonts w:ascii="Arial" w:eastAsia="Times New Roman" w:hAnsi="Arial" w:cs="Arial"/>
          <w:color w:val="2D2D2D"/>
          <w:spacing w:val="2"/>
          <w:sz w:val="21"/>
          <w:szCs w:val="21"/>
          <w:lang w:eastAsia="ru-RU"/>
        </w:rPr>
        <w:br/>
        <w:t>в Министерстве юстиции</w:t>
      </w:r>
      <w:r w:rsidRPr="00AD6BB2">
        <w:rPr>
          <w:rFonts w:ascii="Arial" w:eastAsia="Times New Roman" w:hAnsi="Arial" w:cs="Arial"/>
          <w:color w:val="2D2D2D"/>
          <w:spacing w:val="2"/>
          <w:sz w:val="21"/>
          <w:szCs w:val="21"/>
          <w:lang w:eastAsia="ru-RU"/>
        </w:rPr>
        <w:br/>
        <w:t>Российской Федерации</w:t>
      </w:r>
      <w:r w:rsidRPr="00AD6BB2">
        <w:rPr>
          <w:rFonts w:ascii="Arial" w:eastAsia="Times New Roman" w:hAnsi="Arial" w:cs="Arial"/>
          <w:color w:val="2D2D2D"/>
          <w:spacing w:val="2"/>
          <w:sz w:val="21"/>
          <w:szCs w:val="21"/>
          <w:lang w:eastAsia="ru-RU"/>
        </w:rPr>
        <w:br/>
        <w:t>17 апреля 2014 года,</w:t>
      </w:r>
      <w:r w:rsidRPr="00AD6BB2">
        <w:rPr>
          <w:rFonts w:ascii="Arial" w:eastAsia="Times New Roman" w:hAnsi="Arial" w:cs="Arial"/>
          <w:color w:val="2D2D2D"/>
          <w:spacing w:val="2"/>
          <w:sz w:val="21"/>
          <w:szCs w:val="21"/>
          <w:lang w:eastAsia="ru-RU"/>
        </w:rPr>
        <w:br/>
      </w:r>
      <w:proofErr w:type="gramStart"/>
      <w:r w:rsidRPr="00AD6BB2">
        <w:rPr>
          <w:rFonts w:ascii="Arial" w:eastAsia="Times New Roman" w:hAnsi="Arial" w:cs="Arial"/>
          <w:color w:val="2D2D2D"/>
          <w:spacing w:val="2"/>
          <w:sz w:val="21"/>
          <w:szCs w:val="21"/>
          <w:lang w:eastAsia="ru-RU"/>
        </w:rPr>
        <w:t>регистрационный</w:t>
      </w:r>
      <w:proofErr w:type="gramEnd"/>
      <w:r w:rsidRPr="00AD6BB2">
        <w:rPr>
          <w:rFonts w:ascii="Arial" w:eastAsia="Times New Roman" w:hAnsi="Arial" w:cs="Arial"/>
          <w:color w:val="2D2D2D"/>
          <w:spacing w:val="2"/>
          <w:sz w:val="21"/>
          <w:szCs w:val="21"/>
          <w:lang w:eastAsia="ru-RU"/>
        </w:rPr>
        <w:t xml:space="preserve"> N 32002</w:t>
      </w:r>
    </w:p>
    <w:p w:rsidR="00AD6BB2" w:rsidRPr="00AD6BB2" w:rsidRDefault="00AD6BB2" w:rsidP="00AD6BB2">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lastRenderedPageBreak/>
        <w:t>Приложение. Санитарно-эпидемиологические правила СП 3.1.7.3148-13 "Профилактика Крымской геморрагической лихорадки"</w:t>
      </w:r>
    </w:p>
    <w:p w:rsidR="00AD6BB2" w:rsidRPr="00AD6BB2" w:rsidRDefault="00AD6BB2" w:rsidP="00AD6BB2">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Приложение</w:t>
      </w:r>
    </w:p>
    <w:p w:rsidR="00AD6BB2" w:rsidRPr="00AD6BB2" w:rsidRDefault="00AD6BB2" w:rsidP="00AD6BB2">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     </w:t>
      </w:r>
      <w:r w:rsidRPr="00AD6BB2">
        <w:rPr>
          <w:rFonts w:ascii="Arial" w:eastAsia="Times New Roman" w:hAnsi="Arial" w:cs="Arial"/>
          <w:color w:val="3C3C3C"/>
          <w:spacing w:val="2"/>
          <w:sz w:val="31"/>
          <w:szCs w:val="31"/>
          <w:lang w:eastAsia="ru-RU"/>
        </w:rPr>
        <w:br/>
        <w:t>Санитарно-эпидемиологические правила</w:t>
      </w:r>
    </w:p>
    <w:p w:rsidR="00AD6BB2" w:rsidRPr="00AD6BB2" w:rsidRDefault="00AD6BB2" w:rsidP="00AD6BB2">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AD6BB2">
        <w:rPr>
          <w:rFonts w:ascii="Arial" w:eastAsia="Times New Roman" w:hAnsi="Arial" w:cs="Arial"/>
          <w:color w:val="3C3C3C"/>
          <w:spacing w:val="2"/>
          <w:sz w:val="31"/>
          <w:szCs w:val="31"/>
          <w:lang w:eastAsia="ru-RU"/>
        </w:rPr>
        <w:t>     </w:t>
      </w:r>
      <w:r w:rsidRPr="00AD6BB2">
        <w:rPr>
          <w:rFonts w:ascii="Arial" w:eastAsia="Times New Roman" w:hAnsi="Arial" w:cs="Arial"/>
          <w:color w:val="3C3C3C"/>
          <w:spacing w:val="2"/>
          <w:sz w:val="31"/>
          <w:szCs w:val="31"/>
          <w:lang w:eastAsia="ru-RU"/>
        </w:rPr>
        <w:br/>
        <w:t>СП 3.1.7.3148-13</w:t>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I. Область применения</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1.1. Настоящие санитарно-эпидемиологические правила устанавливают основные требования к комплексу организационных, санитарно-противоэпидемических (профилактических) мероприятий, проведение которых обеспечивает предупреждение возникновения и распространения случаев заболевания Крымской геморрагической лихорадкой (далее - КГЛ).</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1.2. Соблюдение санитарно-эпидемиологических правил является обязательным на всей территории Российской Федерации для государственных органов, должностных лиц, граждан, индивидуальных предпринимателей и юридических лиц.</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1.3.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законодательством Российской Федерации.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II. Общие положения</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2.1. Крымская геморрагическая лихорадка - арбовирусная трансмиссивная природно-очаговая инфекционная болезнь, характеризующаяся различной тяжестью клинического течения с </w:t>
      </w:r>
      <w:proofErr w:type="gramStart"/>
      <w:r w:rsidRPr="00AD6BB2">
        <w:rPr>
          <w:rFonts w:ascii="Arial" w:eastAsia="Times New Roman" w:hAnsi="Arial" w:cs="Arial"/>
          <w:color w:val="2D2D2D"/>
          <w:spacing w:val="2"/>
          <w:sz w:val="21"/>
          <w:szCs w:val="21"/>
          <w:lang w:eastAsia="ru-RU"/>
        </w:rPr>
        <w:t>геморрагическим</w:t>
      </w:r>
      <w:proofErr w:type="gramEnd"/>
      <w:r w:rsidRPr="00AD6BB2">
        <w:rPr>
          <w:rFonts w:ascii="Arial" w:eastAsia="Times New Roman" w:hAnsi="Arial" w:cs="Arial"/>
          <w:color w:val="2D2D2D"/>
          <w:spacing w:val="2"/>
          <w:sz w:val="21"/>
          <w:szCs w:val="21"/>
          <w:lang w:eastAsia="ru-RU"/>
        </w:rPr>
        <w:t xml:space="preserve"> и без геморрагического синдрома. Инкубационный период составляет 1-14 дней, в </w:t>
      </w:r>
      <w:proofErr w:type="gramStart"/>
      <w:r w:rsidRPr="00AD6BB2">
        <w:rPr>
          <w:rFonts w:ascii="Arial" w:eastAsia="Times New Roman" w:hAnsi="Arial" w:cs="Arial"/>
          <w:color w:val="2D2D2D"/>
          <w:spacing w:val="2"/>
          <w:sz w:val="21"/>
          <w:szCs w:val="21"/>
          <w:lang w:eastAsia="ru-RU"/>
        </w:rPr>
        <w:t>среднем</w:t>
      </w:r>
      <w:proofErr w:type="gramEnd"/>
      <w:r w:rsidRPr="00AD6BB2">
        <w:rPr>
          <w:rFonts w:ascii="Arial" w:eastAsia="Times New Roman" w:hAnsi="Arial" w:cs="Arial"/>
          <w:color w:val="2D2D2D"/>
          <w:spacing w:val="2"/>
          <w:sz w:val="21"/>
          <w:szCs w:val="21"/>
          <w:lang w:eastAsia="ru-RU"/>
        </w:rPr>
        <w:t xml:space="preserve"> - 4-6 дней. Возможно инаппарантное течение инфекции. Для КГЛ наряду с общей интоксикацией и геморрагическим синдромом характерны двухволновая лихорадка, развитие лейкопении и тромбоцитопении.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2.2. Возбудителем инфекции является РНК-содержащий вирус Крымской-Конго геморрагической лихорадки (далее - ККГЛ), относящийся к семейству </w:t>
      </w:r>
      <w:r w:rsidRPr="00AD6BB2">
        <w:rPr>
          <w:rFonts w:ascii="Arial" w:eastAsia="Times New Roman" w:hAnsi="Arial" w:cs="Arial"/>
          <w:i/>
          <w:iCs/>
          <w:color w:val="2D2D2D"/>
          <w:spacing w:val="2"/>
          <w:sz w:val="21"/>
          <w:szCs w:val="21"/>
          <w:lang w:eastAsia="ru-RU"/>
        </w:rPr>
        <w:t>Bunyaviridae</w:t>
      </w:r>
      <w:r w:rsidRPr="00AD6BB2">
        <w:rPr>
          <w:rFonts w:ascii="Arial" w:eastAsia="Times New Roman" w:hAnsi="Arial" w:cs="Arial"/>
          <w:color w:val="2D2D2D"/>
          <w:spacing w:val="2"/>
          <w:sz w:val="21"/>
          <w:szCs w:val="21"/>
          <w:lang w:eastAsia="ru-RU"/>
        </w:rPr>
        <w:t> рода </w:t>
      </w:r>
      <w:r w:rsidRPr="00AD6BB2">
        <w:rPr>
          <w:rFonts w:ascii="Arial" w:eastAsia="Times New Roman" w:hAnsi="Arial" w:cs="Arial"/>
          <w:i/>
          <w:iCs/>
          <w:color w:val="2D2D2D"/>
          <w:spacing w:val="2"/>
          <w:sz w:val="21"/>
          <w:szCs w:val="21"/>
          <w:lang w:eastAsia="ru-RU"/>
        </w:rPr>
        <w:t>Nairovirus</w:t>
      </w:r>
      <w:r w:rsidRPr="00AD6BB2">
        <w:rPr>
          <w:rFonts w:ascii="Arial" w:eastAsia="Times New Roman" w:hAnsi="Arial" w:cs="Arial"/>
          <w:color w:val="2D2D2D"/>
          <w:spacing w:val="2"/>
          <w:sz w:val="21"/>
          <w:szCs w:val="21"/>
          <w:lang w:eastAsia="ru-RU"/>
        </w:rPr>
        <w:t xml:space="preserve">. 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принятой в Российской Федерации классификацией патогенных для человека микроорганизмов он относится ко II группе патогенности (опасности).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lastRenderedPageBreak/>
        <w:t>2.3. Вирус ККГЛ малоустойчив в окружающей среде. При кипячении инактивируется моментально, при температуре 60°С разрушается в течение 30 мин. Лиофилизированная культура сохраняется до двух лет. Вирус чувствителен к ультрафиолетовому облучению. По отношению к дезинфицирующим веществам обладает обычной для вирусов чувствительностью.</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2.4. Природно-очаговая по КГЛ территория в Российской Федерации приурочена к степным, полупустынным и лесостепным ландшафтам Юга России (Республики Калмыкия, Дагестан, Ингушетия, Карачаево-Черкесская и Кабардино-Балкарская; Краснодарский и Ставропольский края, Ростовская, Волгоградская и Астраханская области).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2.5. Основное значение в </w:t>
      </w:r>
      <w:proofErr w:type="gramStart"/>
      <w:r w:rsidRPr="00AD6BB2">
        <w:rPr>
          <w:rFonts w:ascii="Arial" w:eastAsia="Times New Roman" w:hAnsi="Arial" w:cs="Arial"/>
          <w:color w:val="2D2D2D"/>
          <w:spacing w:val="2"/>
          <w:sz w:val="21"/>
          <w:szCs w:val="21"/>
          <w:lang w:eastAsia="ru-RU"/>
        </w:rPr>
        <w:t>качестве</w:t>
      </w:r>
      <w:proofErr w:type="gramEnd"/>
      <w:r w:rsidRPr="00AD6BB2">
        <w:rPr>
          <w:rFonts w:ascii="Arial" w:eastAsia="Times New Roman" w:hAnsi="Arial" w:cs="Arial"/>
          <w:color w:val="2D2D2D"/>
          <w:spacing w:val="2"/>
          <w:sz w:val="21"/>
          <w:szCs w:val="21"/>
          <w:lang w:eastAsia="ru-RU"/>
        </w:rPr>
        <w:t xml:space="preserve"> резервуара и переносчика вируса имеет иксодовый клещ </w:t>
      </w:r>
      <w:r w:rsidRPr="00AD6BB2">
        <w:rPr>
          <w:rFonts w:ascii="Arial" w:eastAsia="Times New Roman" w:hAnsi="Arial" w:cs="Arial"/>
          <w:i/>
          <w:iCs/>
          <w:color w:val="2D2D2D"/>
          <w:spacing w:val="2"/>
          <w:sz w:val="21"/>
          <w:szCs w:val="21"/>
          <w:lang w:eastAsia="ru-RU"/>
        </w:rPr>
        <w:t>Hyalomma marginatum</w:t>
      </w:r>
      <w:r w:rsidRPr="00AD6BB2">
        <w:rPr>
          <w:rFonts w:ascii="Arial" w:eastAsia="Times New Roman" w:hAnsi="Arial" w:cs="Arial"/>
          <w:color w:val="2D2D2D"/>
          <w:spacing w:val="2"/>
          <w:sz w:val="21"/>
          <w:szCs w:val="21"/>
          <w:lang w:eastAsia="ru-RU"/>
        </w:rPr>
        <w:t>, который сохраняет вирус пожизненно. У этого вида клеща установлены трансовариальная и трансфазовая передачи вируса.</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xml:space="preserve">В лесостепных </w:t>
      </w:r>
      <w:proofErr w:type="gramStart"/>
      <w:r w:rsidRPr="00AD6BB2">
        <w:rPr>
          <w:rFonts w:ascii="Arial" w:eastAsia="Times New Roman" w:hAnsi="Arial" w:cs="Arial"/>
          <w:color w:val="2D2D2D"/>
          <w:spacing w:val="2"/>
          <w:sz w:val="21"/>
          <w:szCs w:val="21"/>
          <w:lang w:eastAsia="ru-RU"/>
        </w:rPr>
        <w:t>ландшафтах</w:t>
      </w:r>
      <w:proofErr w:type="gramEnd"/>
      <w:r w:rsidRPr="00AD6BB2">
        <w:rPr>
          <w:rFonts w:ascii="Arial" w:eastAsia="Times New Roman" w:hAnsi="Arial" w:cs="Arial"/>
          <w:color w:val="2D2D2D"/>
          <w:spacing w:val="2"/>
          <w:sz w:val="21"/>
          <w:szCs w:val="21"/>
          <w:lang w:eastAsia="ru-RU"/>
        </w:rPr>
        <w:t xml:space="preserve"> численность </w:t>
      </w:r>
      <w:r w:rsidRPr="00AD6BB2">
        <w:rPr>
          <w:rFonts w:ascii="Arial" w:eastAsia="Times New Roman" w:hAnsi="Arial" w:cs="Arial"/>
          <w:i/>
          <w:iCs/>
          <w:color w:val="2D2D2D"/>
          <w:spacing w:val="2"/>
          <w:sz w:val="21"/>
          <w:szCs w:val="21"/>
          <w:lang w:eastAsia="ru-RU"/>
        </w:rPr>
        <w:t>Н. marginatum</w:t>
      </w:r>
      <w:r w:rsidRPr="00AD6BB2">
        <w:rPr>
          <w:rFonts w:ascii="Arial" w:eastAsia="Times New Roman" w:hAnsi="Arial" w:cs="Arial"/>
          <w:color w:val="2D2D2D"/>
          <w:spacing w:val="2"/>
          <w:sz w:val="21"/>
          <w:szCs w:val="21"/>
          <w:lang w:eastAsia="ru-RU"/>
        </w:rPr>
        <w:t> снижается, роль переносчика и, возможно, основного резервуара вируса ККГЛ играют клещи других видов, в частности </w:t>
      </w:r>
      <w:r w:rsidRPr="00AD6BB2">
        <w:rPr>
          <w:rFonts w:ascii="Arial" w:eastAsia="Times New Roman" w:hAnsi="Arial" w:cs="Arial"/>
          <w:i/>
          <w:iCs/>
          <w:color w:val="2D2D2D"/>
          <w:spacing w:val="2"/>
          <w:sz w:val="21"/>
          <w:szCs w:val="21"/>
          <w:lang w:eastAsia="ru-RU"/>
        </w:rPr>
        <w:t>Dermacentor marginatus</w:t>
      </w:r>
      <w:r w:rsidRPr="00AD6BB2">
        <w:rPr>
          <w:rFonts w:ascii="Arial" w:eastAsia="Times New Roman" w:hAnsi="Arial" w:cs="Arial"/>
          <w:color w:val="2D2D2D"/>
          <w:spacing w:val="2"/>
          <w:sz w:val="21"/>
          <w:szCs w:val="21"/>
          <w:lang w:eastAsia="ru-RU"/>
        </w:rPr>
        <w:t>.</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2.6. Основными прокормителями имаго клещей в хозяйственных условиях являются крупный (КРС) и мелкий (МРС) рогатый скот, а также зайцы, ежи; преимагинальных фаз клещей - птицы семейства врановых (грачи, вороны, сороки) и куриных (куропатки, индейки).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2.7. Ведущим механизмом передачи вируса ККГЛ является </w:t>
      </w:r>
      <w:proofErr w:type="gramStart"/>
      <w:r w:rsidRPr="00AD6BB2">
        <w:rPr>
          <w:rFonts w:ascii="Arial" w:eastAsia="Times New Roman" w:hAnsi="Arial" w:cs="Arial"/>
          <w:color w:val="2D2D2D"/>
          <w:spacing w:val="2"/>
          <w:sz w:val="21"/>
          <w:szCs w:val="21"/>
          <w:lang w:eastAsia="ru-RU"/>
        </w:rPr>
        <w:t>трансмиссивный</w:t>
      </w:r>
      <w:proofErr w:type="gramEnd"/>
      <w:r w:rsidRPr="00AD6BB2">
        <w:rPr>
          <w:rFonts w:ascii="Arial" w:eastAsia="Times New Roman" w:hAnsi="Arial" w:cs="Arial"/>
          <w:color w:val="2D2D2D"/>
          <w:spacing w:val="2"/>
          <w:sz w:val="21"/>
          <w:szCs w:val="21"/>
          <w:lang w:eastAsia="ru-RU"/>
        </w:rPr>
        <w:t xml:space="preserve"> с реализацией инокуляционного (при укусе заражёнными клещами) или контаминационного путей передачи возбудителя. Заражение человека может происходить и при контактном механизме передачи возбудителя КГЛ (при контакте с кровью и кровянистыми выделениями больного, при убое и разделке крупного и мелкого рогатого скота, снятии шкурок и разделке туш зайцев и другие). Возможен аспирационный механизм заражения с воздушно-капельным и воздушно-пылевым путями передачи возбудителя при авариях в условиях лабораторий и при оказании помощи больным КГЛ с поражением лёгких.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2.8. Характерны весенне-летняя сезонность (апрель-август) и определённый профессиональный состав больных (пастухи, доярки, скотники, владельцы индивидуального поголовья, лица, занятые в забое скота, в полеводческих и других сельскохозяйственных работах).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2.9. Специфическая иммунопрофилактика людей не разработана.</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2.10. В течение инфекционного процесса КГЛ выделяют следующие периоды: инкубационный, начальный, геморрагических проявлений и органных поражений (или период разгара болезни) и реконвалесценции. По тяжести заболевания различают: инаппарантное, лёгкое, среднетяжёлое и тяжёлое течение. Болезнь характеризуется острым началом, интоксикационным, болевым и геморрагическим синдромами (локальным и генерализованным). Клиническая картина КГЛ определяется поражением нервной и сосудистой систем человека. Продромальных явлений не бывает.</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lastRenderedPageBreak/>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III. Выявление случаев заболевания людей КГЛ</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3.1. Выявление больных КГЛ осуществляют специалисты лечебно-профилактических организаций, независимо от организационно-правовой формы собственности и ведомственной принадлежности, при оказании всех видов медицинской помощи на основании клинико-эпидемиологических и лабораторных данных.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3.2. </w:t>
      </w:r>
      <w:proofErr w:type="gramStart"/>
      <w:r w:rsidRPr="00AD6BB2">
        <w:rPr>
          <w:rFonts w:ascii="Arial" w:eastAsia="Times New Roman" w:hAnsi="Arial" w:cs="Arial"/>
          <w:color w:val="2D2D2D"/>
          <w:spacing w:val="2"/>
          <w:sz w:val="21"/>
          <w:szCs w:val="21"/>
          <w:lang w:eastAsia="ru-RU"/>
        </w:rPr>
        <w:t>Подозрительными на заболевание КГЛ считаются случаи: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с симптомами, сходными с заболеванием КГЛ;</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любых проявлений инфекционной болезни, связанный с пребыванием в течение 14 дней, предшествующих заболеванию, на энзоотичной по КГЛ территории; время возникновения заболевания - с апреля по сентябрь;</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с характерной клинической картиной КГЛ, с наличием в анамнезе у подозрительного больного нападения (укуса) клеща или контакта с ним (снятие, раздавливание, наползание);</w:t>
      </w:r>
      <w:proofErr w:type="gramEnd"/>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с характерной клинической картиной КГЛ при наличии в анамнезе контакта с больным с подозрением на КГЛ (уход за больным или проведение инструментальных манипуляций), участие в убое сельскохозяйственных животных или уходе за ними на энзоотичных территориях.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3.3. Диагноз КГЛ выставляется на основании эпидемиологических, клинических и лабораторных данных.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3.4. При обращении человека с подозрением на заболевание КГЛ за медицинской помощью медицинские работники должны принять меры по его экстренной госпитализации с целью дифференциальной диагностики и лечения вне зависимости от тяжести заболевания на момент первичного осмотра. Больных с подозрением на КГЛ необходимо госпитализировать в ближайшее инфекционное отделение, в отдельную палату или бокс.</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3.5. При обращении человека за медицинской помощью вследствие укуса клещом осуществляется медицинское наблюдение в течение 14 дней с ежедневной двукратной термометрией.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IV. Лабораторная диагностика КГЛ</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4.1. Лабораторные исследования клинического, секционного и полевого материала при подозрении на КГЛ проводятся лабораториями, имеющими разрешение на работу с материалом, заражённым или подозрительным на заражение микроорганизмами II-IV групп </w:t>
      </w:r>
      <w:r w:rsidRPr="00AD6BB2">
        <w:rPr>
          <w:rFonts w:ascii="Arial" w:eastAsia="Times New Roman" w:hAnsi="Arial" w:cs="Arial"/>
          <w:color w:val="2D2D2D"/>
          <w:spacing w:val="2"/>
          <w:sz w:val="21"/>
          <w:szCs w:val="21"/>
          <w:lang w:eastAsia="ru-RU"/>
        </w:rPr>
        <w:lastRenderedPageBreak/>
        <w:t>патогенности.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4.2. Все работы с материалом, подозрительным на заражение возбудителем КГЛ, включая забор, транспортировку и подготовку материала для лабораторных исследований, проводятся 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законодательством Российской Федерации, регламентирующим деятельность с возбудителями II-IV групп патогенности.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4.3. При проведении лабораторной диагностики исследуют:</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от больных людей: цельную кровь, плазму, сгусток крови, сыворотку крови;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от умерших людей: печень, лёгкие, селезёнку, почки, головной мозг;</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4.3.1. При эпизоотологическом мониторинге территории, где предположительно произошло заражение человека, исследуют собранных из окружающей среды и с сельскохозяйственных животных иксодовых клещей, пробы крови КРС и МРС, а также органы птиц и грызунов (головной мозг, печень).</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4.4. Исследование материала от больных КГЛ проводят: серологическим - ТИФА (твердофазный иммуноферментный анализ), молекулярно-генетическим - ОТ-ПЦР (полимеразная цепная реакция с обратной транскрипцией), вирусологическим методами.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4.5. Для лабораторной диагностики КГЛ используются зарегистрированные в Российской Федерации тест-системы.</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4.6. </w:t>
      </w:r>
      <w:proofErr w:type="gramStart"/>
      <w:r w:rsidRPr="00AD6BB2">
        <w:rPr>
          <w:rFonts w:ascii="Arial" w:eastAsia="Times New Roman" w:hAnsi="Arial" w:cs="Arial"/>
          <w:color w:val="2D2D2D"/>
          <w:spacing w:val="2"/>
          <w:sz w:val="21"/>
          <w:szCs w:val="21"/>
          <w:lang w:eastAsia="ru-RU"/>
        </w:rPr>
        <w:t>Клинический диагноз КГЛ считают подтверждённым в случаях:</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выделения вируса ККГЛ из крови больного;</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выявления РНК вируса ККГЛ в клиническом материале, взятом на ранних сроках заболевания (в первые 5-7 дней);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обнаружения антител класса Ig М в сыворотке крови в титре 1:800 и более (Ig М появляются в крови на 5-7-й день болезни и достигают максимальных титров на 2-3 неделе);</w:t>
      </w:r>
      <w:proofErr w:type="gramEnd"/>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четырёхкратного нарастания титра антител (Ig G появляются на 7-10-й день болезни) при исследовании парных сывороток крови на наличие антител класса Ig G.</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4.7. Материал от больных КГЛ, впервые выявленных на неэнзоотичной по КГЛ территории Российской Федерации, материал из зарегистрированных эпидемических очагов, </w:t>
      </w:r>
      <w:proofErr w:type="gramStart"/>
      <w:r w:rsidRPr="00AD6BB2">
        <w:rPr>
          <w:rFonts w:ascii="Arial" w:eastAsia="Times New Roman" w:hAnsi="Arial" w:cs="Arial"/>
          <w:color w:val="2D2D2D"/>
          <w:spacing w:val="2"/>
          <w:sz w:val="21"/>
          <w:szCs w:val="21"/>
          <w:lang w:eastAsia="ru-RU"/>
        </w:rPr>
        <w:t>патолого-анатомический</w:t>
      </w:r>
      <w:proofErr w:type="gramEnd"/>
      <w:r w:rsidRPr="00AD6BB2">
        <w:rPr>
          <w:rFonts w:ascii="Arial" w:eastAsia="Times New Roman" w:hAnsi="Arial" w:cs="Arial"/>
          <w:color w:val="2D2D2D"/>
          <w:spacing w:val="2"/>
          <w:sz w:val="21"/>
          <w:szCs w:val="21"/>
          <w:lang w:eastAsia="ru-RU"/>
        </w:rPr>
        <w:t xml:space="preserve"> материал подлежит передаче в научно-исследовательскую организацию, определенную в качестве референс-центра, для подтверждения диагноза, проведения углубленных лабораторных исследований и депонирования.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lastRenderedPageBreak/>
        <w:t>V. Регистрация и учёт больных КГЛ</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5.1. Каждый случай заболевания КГЛ подлежит регистрации и учёту в медицинских организациях.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5.2. </w:t>
      </w:r>
      <w:proofErr w:type="gramStart"/>
      <w:r w:rsidRPr="00AD6BB2">
        <w:rPr>
          <w:rFonts w:ascii="Arial" w:eastAsia="Times New Roman" w:hAnsi="Arial" w:cs="Arial"/>
          <w:color w:val="2D2D2D"/>
          <w:spacing w:val="2"/>
          <w:sz w:val="21"/>
          <w:szCs w:val="21"/>
          <w:lang w:eastAsia="ru-RU"/>
        </w:rPr>
        <w:t>О каждом выявленном случае заболевания КГЛ или случае с подозрением на заболевание КГЛ врачи всех специальностей, средние медицинские работники медицинских, детских, образовательных, оздоровительных, социальных и других организаций, а также медицинские работники, занимающиеся частной медицинской деятельностью, обязаны в течение 2 часов сообщить об этом по телефону и в течение 12 часов направить экстренное извещение установленной формы в орган, осуществляющий федеральный государственный</w:t>
      </w:r>
      <w:proofErr w:type="gramEnd"/>
      <w:r w:rsidRPr="00AD6BB2">
        <w:rPr>
          <w:rFonts w:ascii="Arial" w:eastAsia="Times New Roman" w:hAnsi="Arial" w:cs="Arial"/>
          <w:color w:val="2D2D2D"/>
          <w:spacing w:val="2"/>
          <w:sz w:val="21"/>
          <w:szCs w:val="21"/>
          <w:lang w:eastAsia="ru-RU"/>
        </w:rPr>
        <w:t xml:space="preserve"> санитарно-эпидемиологический надзор на территории, где выявлен случай заболевания (независимо от места проживания больного).</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5.3. Медицинская организация, изменившая или уточнившая диагноз, в течение 12 часов подаёт новое экстренное извещение в орган, осуществляющий федеральный государственный санитарно-эпидемиологический надзор, по месту выявления болезни, указав первоначальный диагноз, изменённый (уточнённый) диагноз, дату установления уточнённого диагноза и результаты лабораторного исследования.</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5.4. При получении экстренных извещений об изменённом (уточнённом) диагнозе орган, осуществляющий федеральный государственный санитарно-эпидемиологический надзор, информирует об этом медицинскую организацию по месту выявления больного, приславшую первоначальное экстренное извещение.</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5.5. Полноту, достоверность и своевременность учёта случаев заболевания КГЛ, а также оперативное и полное сообщение о них в органы, осуществляющие федеральный государственный санитарно-эпидемиологический надзор, </w:t>
      </w:r>
      <w:proofErr w:type="gramStart"/>
      <w:r w:rsidRPr="00AD6BB2">
        <w:rPr>
          <w:rFonts w:ascii="Arial" w:eastAsia="Times New Roman" w:hAnsi="Arial" w:cs="Arial"/>
          <w:color w:val="2D2D2D"/>
          <w:spacing w:val="2"/>
          <w:sz w:val="21"/>
          <w:szCs w:val="21"/>
          <w:lang w:eastAsia="ru-RU"/>
        </w:rPr>
        <w:t>обеспечивают и несут</w:t>
      </w:r>
      <w:proofErr w:type="gramEnd"/>
      <w:r w:rsidRPr="00AD6BB2">
        <w:rPr>
          <w:rFonts w:ascii="Arial" w:eastAsia="Times New Roman" w:hAnsi="Arial" w:cs="Arial"/>
          <w:color w:val="2D2D2D"/>
          <w:spacing w:val="2"/>
          <w:sz w:val="21"/>
          <w:szCs w:val="21"/>
          <w:lang w:eastAsia="ru-RU"/>
        </w:rPr>
        <w:t xml:space="preserve"> за это ответственность руководители медицинских организаций, выявивших больного.</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5.6. В </w:t>
      </w:r>
      <w:proofErr w:type="gramStart"/>
      <w:r w:rsidRPr="00AD6BB2">
        <w:rPr>
          <w:rFonts w:ascii="Arial" w:eastAsia="Times New Roman" w:hAnsi="Arial" w:cs="Arial"/>
          <w:color w:val="2D2D2D"/>
          <w:spacing w:val="2"/>
          <w:sz w:val="21"/>
          <w:szCs w:val="21"/>
          <w:lang w:eastAsia="ru-RU"/>
        </w:rPr>
        <w:t>случае</w:t>
      </w:r>
      <w:proofErr w:type="gramEnd"/>
      <w:r w:rsidRPr="00AD6BB2">
        <w:rPr>
          <w:rFonts w:ascii="Arial" w:eastAsia="Times New Roman" w:hAnsi="Arial" w:cs="Arial"/>
          <w:color w:val="2D2D2D"/>
          <w:spacing w:val="2"/>
          <w:sz w:val="21"/>
          <w:szCs w:val="21"/>
          <w:lang w:eastAsia="ru-RU"/>
        </w:rPr>
        <w:t xml:space="preserve"> заболевания КГЛ осуществляется регистрация, учёт и статистическое наблюдение.</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5.7. При получении экстренного извещения о случае заболевания КГЛ или подозрения на заболевание КГЛ специалистами территориального органа, осуществляющего федеральный государственный санитарно-эпидемиологический надзор, проводится эпидемиологическое расследование и организация комплекса санитарно-противоэпидемических (профилактических) мероприятий.</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5.8. По результатам эпидемиологического расследования очагов с единичным случаем и групповой заболеваемостью составляется акт эпидемиологического расследования с указанием эпидемиологического диагноза и причинно-следственной связи формирования очага КГЛ.</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xml:space="preserve">В </w:t>
      </w:r>
      <w:proofErr w:type="gramStart"/>
      <w:r w:rsidRPr="00AD6BB2">
        <w:rPr>
          <w:rFonts w:ascii="Arial" w:eastAsia="Times New Roman" w:hAnsi="Arial" w:cs="Arial"/>
          <w:color w:val="2D2D2D"/>
          <w:spacing w:val="2"/>
          <w:sz w:val="21"/>
          <w:szCs w:val="21"/>
          <w:lang w:eastAsia="ru-RU"/>
        </w:rPr>
        <w:t>случае</w:t>
      </w:r>
      <w:proofErr w:type="gramEnd"/>
      <w:r w:rsidRPr="00AD6BB2">
        <w:rPr>
          <w:rFonts w:ascii="Arial" w:eastAsia="Times New Roman" w:hAnsi="Arial" w:cs="Arial"/>
          <w:color w:val="2D2D2D"/>
          <w:spacing w:val="2"/>
          <w:sz w:val="21"/>
          <w:szCs w:val="21"/>
          <w:lang w:eastAsia="ru-RU"/>
        </w:rPr>
        <w:t xml:space="preserve"> регистрации профессионального заболевания (заболевание КГЛ, связанное с профессиональной деятельностью) составляется акт расследования профессионального </w:t>
      </w:r>
      <w:r w:rsidRPr="00AD6BB2">
        <w:rPr>
          <w:rFonts w:ascii="Arial" w:eastAsia="Times New Roman" w:hAnsi="Arial" w:cs="Arial"/>
          <w:color w:val="2D2D2D"/>
          <w:spacing w:val="2"/>
          <w:sz w:val="21"/>
          <w:szCs w:val="21"/>
          <w:lang w:eastAsia="ru-RU"/>
        </w:rPr>
        <w:lastRenderedPageBreak/>
        <w:t>заболевания.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VI. Мероприятия по обеспечению федерального государственного санитарно-эпидемиологического надзора за КГЛ</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6.1. В </w:t>
      </w:r>
      <w:proofErr w:type="gramStart"/>
      <w:r w:rsidRPr="00AD6BB2">
        <w:rPr>
          <w:rFonts w:ascii="Arial" w:eastAsia="Times New Roman" w:hAnsi="Arial" w:cs="Arial"/>
          <w:color w:val="2D2D2D"/>
          <w:spacing w:val="2"/>
          <w:sz w:val="21"/>
          <w:szCs w:val="21"/>
          <w:lang w:eastAsia="ru-RU"/>
        </w:rPr>
        <w:t>целях</w:t>
      </w:r>
      <w:proofErr w:type="gramEnd"/>
      <w:r w:rsidRPr="00AD6BB2">
        <w:rPr>
          <w:rFonts w:ascii="Arial" w:eastAsia="Times New Roman" w:hAnsi="Arial" w:cs="Arial"/>
          <w:color w:val="2D2D2D"/>
          <w:spacing w:val="2"/>
          <w:sz w:val="21"/>
          <w:szCs w:val="21"/>
          <w:lang w:eastAsia="ru-RU"/>
        </w:rPr>
        <w:t xml:space="preserve"> обеспечения федерального государственного санитарно-эпидемиологического надзора осуществляется постоянное динамическое наблюдение за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6.2. При проведении федерального государственного санитарно-эпидемиологического надзора проводится оценка эпидемиологической ситуации, определение тенденции развития эпидемического процесса для принятия управленческих решений и разработки адекватных санитарно-противоэпидемических (профилактических) мероприятий, направленных на снижение заболеваемости КГЛ среди людей, предупреждение возникновения массовых случаев заболевания, недопущение формирования тяжёлых клинических форм течения инфекции и летальных исходов.</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 Мероприятия по обеспечению федерального государственного санитарно-эпидемиологического надзора включают:</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6.3.1. Выявление участков повышенного эпидемиологического риска (активные природные очаги), на территории которых регистрируются случаи заболевания людей, выявляется антиген или РНК вируса ККГЛ (от клещей, птиц, грызунов, диких и домашних животных);</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6.3.2. Ретроспективный и оперативный анализ динамики заболеваемости КГЛ среди людей по условиям заражения, тяжести клинического течения, летальности, её территориальное распределение, а также анализ заболеваемости отдельных групп населения (городского, сельского, по возрастным и профессиональным группам);</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6.3.3. Контроль своевременности выявления больных КГЛ, полноты их лабораторного обследования;</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6.3.4. Установление контингентов населения, групп повышенного риска, находящихся или выезжающих в природные очаги (или зоны риска), с целью проведения среди них целенаправленной работы по вопросам профилактики КГЛ;</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6.3.5. Анализ иммунной структуры населения;</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6.3.6. Определение периода эпидемического сезона по КГЛ на территории (по зоолого-паразитологическим показателям);</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lastRenderedPageBreak/>
        <w:t>6.3.7. Проведение зоолого-паразитологического обследования территории с целью слежения за циркуляцией возбудителя, переносчиками вируса ККГЛ и источниками инфекции;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6.3.8. Контроль обоснования объёмов и сроков проведения профилактических мероприятий.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 xml:space="preserve">VII. Мероприятия в </w:t>
      </w:r>
      <w:proofErr w:type="gramStart"/>
      <w:r w:rsidRPr="00AD6BB2">
        <w:rPr>
          <w:rFonts w:ascii="Arial" w:eastAsia="Times New Roman" w:hAnsi="Arial" w:cs="Arial"/>
          <w:color w:val="4C4C4C"/>
          <w:spacing w:val="2"/>
          <w:sz w:val="29"/>
          <w:szCs w:val="29"/>
          <w:lang w:eastAsia="ru-RU"/>
        </w:rPr>
        <w:t>очаге</w:t>
      </w:r>
      <w:proofErr w:type="gramEnd"/>
      <w:r w:rsidRPr="00AD6BB2">
        <w:rPr>
          <w:rFonts w:ascii="Arial" w:eastAsia="Times New Roman" w:hAnsi="Arial" w:cs="Arial"/>
          <w:color w:val="4C4C4C"/>
          <w:spacing w:val="2"/>
          <w:sz w:val="29"/>
          <w:szCs w:val="29"/>
          <w:lang w:eastAsia="ru-RU"/>
        </w:rPr>
        <w:t xml:space="preserve"> заболевания КГЛ</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7.1. При получении экстренного извещения из медицинской организации о выявлении случая заболевания КГЛ или подозрения на заболевание КГЛ органы, осуществляющие федеральный государственный санитарно-эпидемиологический надзор, организуют проведение эпидемиологического расследования с энтомологическим обследованием очага.</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7.2. Больных КГЛ госпитализируют в отдельные боксы инфекционного стационара с соблюдением требований биологической безопасности и обеспечением противоэпидемического режима для предупреждения внутрибольничного инфицирования пациентов и персонала.</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7.3. Отбор материала от больных для лабораторных исследований осуществляют сотрудники медицинских организаций.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Отбор проб окружающей среды проводят специалисты организаций, обеспечивающих федеральный государственный санитарно-эпидемиологический надзор.</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Объем и перечень материалов, отбираемых для лабораторных исследований, определяется специалистом, отвечающим за проведение эпидемиологического расследования.</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7.4. В эпидемических очагах КГЛ и медицинских организациях при наличии больных КГЛ проводят текущую и заключительную дезинфекцию дезинфектантами, </w:t>
      </w:r>
      <w:proofErr w:type="gramStart"/>
      <w:r w:rsidRPr="00AD6BB2">
        <w:rPr>
          <w:rFonts w:ascii="Arial" w:eastAsia="Times New Roman" w:hAnsi="Arial" w:cs="Arial"/>
          <w:color w:val="2D2D2D"/>
          <w:spacing w:val="2"/>
          <w:sz w:val="21"/>
          <w:szCs w:val="21"/>
          <w:lang w:eastAsia="ru-RU"/>
        </w:rPr>
        <w:t>разрешёнными</w:t>
      </w:r>
      <w:proofErr w:type="gramEnd"/>
      <w:r w:rsidRPr="00AD6BB2">
        <w:rPr>
          <w:rFonts w:ascii="Arial" w:eastAsia="Times New Roman" w:hAnsi="Arial" w:cs="Arial"/>
          <w:color w:val="2D2D2D"/>
          <w:spacing w:val="2"/>
          <w:sz w:val="21"/>
          <w:szCs w:val="21"/>
          <w:lang w:eastAsia="ru-RU"/>
        </w:rPr>
        <w:t xml:space="preserve"> для применения при вирусных инфекциях, в присутствии пациентов. Обеззараживанию подлежат все предметы, загрязнённые или подозрительные на загрязнение кровью и выделениями больного, а также имевшие контакт со слизистыми оболочками больного. В </w:t>
      </w:r>
      <w:proofErr w:type="gramStart"/>
      <w:r w:rsidRPr="00AD6BB2">
        <w:rPr>
          <w:rFonts w:ascii="Arial" w:eastAsia="Times New Roman" w:hAnsi="Arial" w:cs="Arial"/>
          <w:color w:val="2D2D2D"/>
          <w:spacing w:val="2"/>
          <w:sz w:val="21"/>
          <w:szCs w:val="21"/>
          <w:lang w:eastAsia="ru-RU"/>
        </w:rPr>
        <w:t>очагах</w:t>
      </w:r>
      <w:proofErr w:type="gramEnd"/>
      <w:r w:rsidRPr="00AD6BB2">
        <w:rPr>
          <w:rFonts w:ascii="Arial" w:eastAsia="Times New Roman" w:hAnsi="Arial" w:cs="Arial"/>
          <w:color w:val="2D2D2D"/>
          <w:spacing w:val="2"/>
          <w:sz w:val="21"/>
          <w:szCs w:val="21"/>
          <w:lang w:eastAsia="ru-RU"/>
        </w:rPr>
        <w:t xml:space="preserve"> больных с клиникой заболевания без геморрагических проявлений дезинфекция не проводится.</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7.5. На наличие клещей-переносчиков обследуют объекты и территории возможного контакта больного с клещами (животноводческие фермы, личные подворья, жилые и нежилые помещения всего населённого пункта, природные биотопы и другие), проводят осмотр на наличие иксодовых клещей сельскохозяйственных и домашних животных, находящихся в пределах очага. По результатам обследования при наличии клещей проводится акарицидная обработка объектов, биотопов, сельскохозяйственных и домашних животных. Обработки проводятся силами организаций дезинфекционного профиля и </w:t>
      </w:r>
      <w:r w:rsidRPr="00AD6BB2">
        <w:rPr>
          <w:rFonts w:ascii="Arial" w:eastAsia="Times New Roman" w:hAnsi="Arial" w:cs="Arial"/>
          <w:color w:val="2D2D2D"/>
          <w:spacing w:val="2"/>
          <w:sz w:val="21"/>
          <w:szCs w:val="21"/>
          <w:lang w:eastAsia="ru-RU"/>
        </w:rPr>
        <w:lastRenderedPageBreak/>
        <w:t>ветеринарной службой соответственно.</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VIII. Организация профилактических мероприятий на энзоотичной по КГЛ территории</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8.1. Неспецифическая профилактика является основой профилактических мероприятий в борьбе с КГЛ. Неспецифические профилактические мероприятия осуществляют посредством комплекса акарицидных мероприятий, позволяющего снизить численность переносчиков возбудителя инфекции на территории природных очагов КГЛ (или в зонах риска) ниже порога эпидемической опасности.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8.2. Борьба с клещами-переносчиками возбудителя КГЛ </w:t>
      </w:r>
      <w:proofErr w:type="gramStart"/>
      <w:r w:rsidRPr="00AD6BB2">
        <w:rPr>
          <w:rFonts w:ascii="Arial" w:eastAsia="Times New Roman" w:hAnsi="Arial" w:cs="Arial"/>
          <w:color w:val="2D2D2D"/>
          <w:spacing w:val="2"/>
          <w:sz w:val="21"/>
          <w:szCs w:val="21"/>
          <w:lang w:eastAsia="ru-RU"/>
        </w:rPr>
        <w:t>носит комплексный характер и охватывает</w:t>
      </w:r>
      <w:proofErr w:type="gramEnd"/>
      <w:r w:rsidRPr="00AD6BB2">
        <w:rPr>
          <w:rFonts w:ascii="Arial" w:eastAsia="Times New Roman" w:hAnsi="Arial" w:cs="Arial"/>
          <w:color w:val="2D2D2D"/>
          <w:spacing w:val="2"/>
          <w:sz w:val="21"/>
          <w:szCs w:val="21"/>
          <w:lang w:eastAsia="ru-RU"/>
        </w:rPr>
        <w:t xml:space="preserve"> весь жизненный цикл клеща. Она включает меры экологического, хозяйственного и химического воздействия на популяцию клещей на всех фазах его развития. Мероприятия по уничтожению клещей проводят 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общими требованиями к проведению дезинсекционных мероприятий.</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8.3. Акарицидную обработку природных биотопов проводят в течение эпидемического сезона в неблагополучных по КГЛ </w:t>
      </w:r>
      <w:proofErr w:type="gramStart"/>
      <w:r w:rsidRPr="00AD6BB2">
        <w:rPr>
          <w:rFonts w:ascii="Arial" w:eastAsia="Times New Roman" w:hAnsi="Arial" w:cs="Arial"/>
          <w:color w:val="2D2D2D"/>
          <w:spacing w:val="2"/>
          <w:sz w:val="21"/>
          <w:szCs w:val="21"/>
          <w:lang w:eastAsia="ru-RU"/>
        </w:rPr>
        <w:t>районах</w:t>
      </w:r>
      <w:proofErr w:type="gramEnd"/>
      <w:r w:rsidRPr="00AD6BB2">
        <w:rPr>
          <w:rFonts w:ascii="Arial" w:eastAsia="Times New Roman" w:hAnsi="Arial" w:cs="Arial"/>
          <w:color w:val="2D2D2D"/>
          <w:spacing w:val="2"/>
          <w:sz w:val="21"/>
          <w:szCs w:val="21"/>
          <w:lang w:eastAsia="ru-RU"/>
        </w:rPr>
        <w:t xml:space="preserve">. При этом используются акарицидные (инсектоакарицидные) средства, разрешённые в установленном порядке для применения в качестве дезинфекционного средства, предназначенного для борьбы с иксодовыми клещами в природных биотопах. Применение акарицидных средств осуществляется в </w:t>
      </w:r>
      <w:proofErr w:type="gramStart"/>
      <w:r w:rsidRPr="00AD6BB2">
        <w:rPr>
          <w:rFonts w:ascii="Arial" w:eastAsia="Times New Roman" w:hAnsi="Arial" w:cs="Arial"/>
          <w:color w:val="2D2D2D"/>
          <w:spacing w:val="2"/>
          <w:sz w:val="21"/>
          <w:szCs w:val="21"/>
          <w:lang w:eastAsia="ru-RU"/>
        </w:rPr>
        <w:t>соответствии</w:t>
      </w:r>
      <w:proofErr w:type="gramEnd"/>
      <w:r w:rsidRPr="00AD6BB2">
        <w:rPr>
          <w:rFonts w:ascii="Arial" w:eastAsia="Times New Roman" w:hAnsi="Arial" w:cs="Arial"/>
          <w:color w:val="2D2D2D"/>
          <w:spacing w:val="2"/>
          <w:sz w:val="21"/>
          <w:szCs w:val="21"/>
          <w:lang w:eastAsia="ru-RU"/>
        </w:rPr>
        <w:t xml:space="preserve"> с действующими методическими документами (инструкциями по применению).</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 xml:space="preserve">8.4. Ответственными за проведение акарицидных мероприятий в </w:t>
      </w:r>
      <w:proofErr w:type="gramStart"/>
      <w:r w:rsidRPr="00AD6BB2">
        <w:rPr>
          <w:rFonts w:ascii="Arial" w:eastAsia="Times New Roman" w:hAnsi="Arial" w:cs="Arial"/>
          <w:color w:val="2D2D2D"/>
          <w:spacing w:val="2"/>
          <w:sz w:val="21"/>
          <w:szCs w:val="21"/>
          <w:lang w:eastAsia="ru-RU"/>
        </w:rPr>
        <w:t>рамках</w:t>
      </w:r>
      <w:proofErr w:type="gramEnd"/>
      <w:r w:rsidRPr="00AD6BB2">
        <w:rPr>
          <w:rFonts w:ascii="Arial" w:eastAsia="Times New Roman" w:hAnsi="Arial" w:cs="Arial"/>
          <w:color w:val="2D2D2D"/>
          <w:spacing w:val="2"/>
          <w:sz w:val="21"/>
          <w:szCs w:val="21"/>
          <w:lang w:eastAsia="ru-RU"/>
        </w:rPr>
        <w:t xml:space="preserve"> реализации региональных программ обеспечения санитарно-эпидемиологического благополучия населения являются: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r w:rsidRPr="00AD6BB2">
        <w:rPr>
          <w:rFonts w:ascii="Arial" w:eastAsia="Times New Roman" w:hAnsi="Arial" w:cs="Arial"/>
          <w:b/>
          <w:bCs/>
          <w:color w:val="2D2D2D"/>
          <w:spacing w:val="2"/>
          <w:sz w:val="21"/>
          <w:szCs w:val="21"/>
          <w:lang w:eastAsia="ru-RU"/>
        </w:rPr>
        <w:t>- органы исполнительной власти субъектов Российской Федерации, муниципальных образований; в какой сфере?</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t>- юридические лица, индивидуальные предприниматели, </w:t>
      </w:r>
      <w:r w:rsidRPr="00AD6BB2">
        <w:rPr>
          <w:rFonts w:ascii="Arial" w:eastAsia="Times New Roman" w:hAnsi="Arial" w:cs="Arial"/>
          <w:b/>
          <w:bCs/>
          <w:color w:val="2D2D2D"/>
          <w:spacing w:val="2"/>
          <w:sz w:val="21"/>
          <w:szCs w:val="21"/>
          <w:lang w:eastAsia="ru-RU"/>
        </w:rPr>
        <w:t>руководители садово-огородных кооперативов.</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8.5. </w:t>
      </w:r>
      <w:r w:rsidRPr="00AD6BB2">
        <w:rPr>
          <w:rFonts w:ascii="Arial" w:eastAsia="Times New Roman" w:hAnsi="Arial" w:cs="Arial"/>
          <w:b/>
          <w:bCs/>
          <w:color w:val="2D2D2D"/>
          <w:spacing w:val="2"/>
          <w:sz w:val="21"/>
          <w:szCs w:val="21"/>
          <w:lang w:eastAsia="ru-RU"/>
        </w:rPr>
        <w:t>Органы исполнительной власти Российской Федерации, муниципальных образований</w:t>
      </w:r>
      <w:r w:rsidRPr="00AD6BB2">
        <w:rPr>
          <w:rFonts w:ascii="Arial" w:eastAsia="Times New Roman" w:hAnsi="Arial" w:cs="Arial"/>
          <w:color w:val="2D2D2D"/>
          <w:spacing w:val="2"/>
          <w:sz w:val="21"/>
          <w:szCs w:val="21"/>
          <w:lang w:eastAsia="ru-RU"/>
        </w:rPr>
        <w:t> обеспечивают разработку и реализацию программ (планов) по профилактике КГЛ, предусматривающих:</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t>- проведение энтомологического, зоолого-паразитологического обследования территории с целью контроля циркуляции возбудителя КГЛ;</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проведение комплексных мероприятий по снижению численности популяции иксодовых клещей ниже порога эпидемической опасности;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xml:space="preserve">- проведение акарицидных обработок природных биотопов в течение эпидемического </w:t>
      </w:r>
      <w:r w:rsidRPr="00AD6BB2">
        <w:rPr>
          <w:rFonts w:ascii="Arial" w:eastAsia="Times New Roman" w:hAnsi="Arial" w:cs="Arial"/>
          <w:color w:val="2D2D2D"/>
          <w:spacing w:val="2"/>
          <w:sz w:val="21"/>
          <w:szCs w:val="21"/>
          <w:lang w:eastAsia="ru-RU"/>
        </w:rPr>
        <w:lastRenderedPageBreak/>
        <w:t>сезона в неблагополучных по КГЛ районах с использованием акарицидных средств, разрешённых для применения в качестве дезинфекционного средства;</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истребление клещей на сельскохозяйственных животных акарицидными средствами, разрешёнными для этих целей в ветеринарии;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снижение численности популяции птиц семейства врановых - прокормителей преимагинальных стадий переносчиков вируса ККГЛ;</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улучшение сельскохозяйственных угодий посредством распашки, окультуривания выпасов, пастбищ, т.е. трансформация естественных или несельскохозяйственных угодий в пашни, культурные сенокосы и пастбища посредством комплекса агротехнических мероприятий;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xml:space="preserve">- </w:t>
      </w:r>
      <w:proofErr w:type="gramStart"/>
      <w:r w:rsidRPr="00AD6BB2">
        <w:rPr>
          <w:rFonts w:ascii="Arial" w:eastAsia="Times New Roman" w:hAnsi="Arial" w:cs="Arial"/>
          <w:color w:val="2D2D2D"/>
          <w:spacing w:val="2"/>
          <w:sz w:val="21"/>
          <w:szCs w:val="21"/>
          <w:lang w:eastAsia="ru-RU"/>
        </w:rPr>
        <w:t>осуществление ротации пастбищ с регулируемым выпасом скота;</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определение маршрутов прогона сельскохозяйственных животных;</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благоустройство территорий населённых пунктов, парков, скверов, оздоровительных учреждений, сельскохозяйственных объектов, мест массового отдыха и пребывания населения;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ликвидацию самопроизвольных свалок мусора;</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организацию в средствах массовой информации работы по гигиеническому воспитанию населения, связанной с вопросами профилактики КГЛ, клиническими проявлениями КГЛ, условиями заражения и средствами индивидуальной защиты;</w:t>
      </w:r>
      <w:proofErr w:type="gramEnd"/>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обеспечение на территориях в эпидемический сезон запаса эффективных средств индивидуальной защиты в доступной продаже.</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Объёмы и сроки проведения профилактических мероприятий определяются органами, осуществляющими санитарно-эпидемиологический надзор, по зоолого-паразитологическим показаниям.</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8.6. На юридических лиц, индивидуальных предпринимателей, граждан, </w:t>
      </w:r>
      <w:r w:rsidRPr="00AD6BB2">
        <w:rPr>
          <w:rFonts w:ascii="Arial" w:eastAsia="Times New Roman" w:hAnsi="Arial" w:cs="Arial"/>
          <w:b/>
          <w:bCs/>
          <w:color w:val="2D2D2D"/>
          <w:spacing w:val="2"/>
          <w:sz w:val="21"/>
          <w:szCs w:val="21"/>
          <w:lang w:eastAsia="ru-RU"/>
        </w:rPr>
        <w:t>руководителей садово-огородных кооперативов</w:t>
      </w:r>
      <w:r w:rsidRPr="00AD6BB2">
        <w:rPr>
          <w:rFonts w:ascii="Arial" w:eastAsia="Times New Roman" w:hAnsi="Arial" w:cs="Arial"/>
          <w:color w:val="2D2D2D"/>
          <w:spacing w:val="2"/>
          <w:sz w:val="21"/>
          <w:szCs w:val="21"/>
          <w:lang w:eastAsia="ru-RU"/>
        </w:rPr>
        <w:t> возлагается ответственность:</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t>- за благоустройство территории организации, участков и прилегающих территорий;</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за организацию и проведение акарицидных обработок принадлежащей им территории.</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8.7. </w:t>
      </w:r>
      <w:r w:rsidRPr="00AD6BB2">
        <w:rPr>
          <w:rFonts w:ascii="Arial" w:eastAsia="Times New Roman" w:hAnsi="Arial" w:cs="Arial"/>
          <w:b/>
          <w:bCs/>
          <w:color w:val="2D2D2D"/>
          <w:spacing w:val="2"/>
          <w:sz w:val="21"/>
          <w:szCs w:val="21"/>
          <w:lang w:eastAsia="ru-RU"/>
        </w:rPr>
        <w:t>Руководители организаций</w:t>
      </w:r>
      <w:r w:rsidRPr="00AD6BB2">
        <w:rPr>
          <w:rFonts w:ascii="Arial" w:eastAsia="Times New Roman" w:hAnsi="Arial" w:cs="Arial"/>
          <w:color w:val="2D2D2D"/>
          <w:spacing w:val="2"/>
          <w:sz w:val="21"/>
          <w:szCs w:val="21"/>
          <w:lang w:eastAsia="ru-RU"/>
        </w:rPr>
        <w:t> и учреждений, имеющих загородные летние оздоровительные учреждения, расположенные в зоне природных очагов (или зонах риска) КГЛ, перед их открытием обязаны обеспечить:</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br/>
      </w:r>
      <w:proofErr w:type="gramStart"/>
      <w:r w:rsidRPr="00AD6BB2">
        <w:rPr>
          <w:rFonts w:ascii="Arial" w:eastAsia="Times New Roman" w:hAnsi="Arial" w:cs="Arial"/>
          <w:color w:val="2D2D2D"/>
          <w:spacing w:val="2"/>
          <w:sz w:val="21"/>
          <w:szCs w:val="21"/>
          <w:lang w:eastAsia="ru-RU"/>
        </w:rPr>
        <w:t xml:space="preserve">- расчистку прилегающих территорий (лесных массивов, полян и другие) от мусора, </w:t>
      </w:r>
      <w:r w:rsidRPr="00AD6BB2">
        <w:rPr>
          <w:rFonts w:ascii="Arial" w:eastAsia="Times New Roman" w:hAnsi="Arial" w:cs="Arial"/>
          <w:color w:val="2D2D2D"/>
          <w:spacing w:val="2"/>
          <w:sz w:val="21"/>
          <w:szCs w:val="21"/>
          <w:lang w:eastAsia="ru-RU"/>
        </w:rPr>
        <w:lastRenderedPageBreak/>
        <w:t>валежника, сухостоя в радиусе полукилометра вокруг учреждения;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ограждение территорий с целью предотвращения захода диких и домашних животных;</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проведение барьерных акарицидных обработок, создавая ширину барьера не менее 100 м по периметру ограждения.</w:t>
      </w:r>
      <w:proofErr w:type="gramEnd"/>
      <w:r w:rsidRPr="00AD6BB2">
        <w:rPr>
          <w:rFonts w:ascii="Arial" w:eastAsia="Times New Roman" w:hAnsi="Arial" w:cs="Arial"/>
          <w:color w:val="2D2D2D"/>
          <w:spacing w:val="2"/>
          <w:sz w:val="21"/>
          <w:szCs w:val="21"/>
          <w:lang w:eastAsia="ru-RU"/>
        </w:rPr>
        <w:t xml:space="preserve"> </w:t>
      </w:r>
      <w:proofErr w:type="gramStart"/>
      <w:r w:rsidRPr="00AD6BB2">
        <w:rPr>
          <w:rFonts w:ascii="Arial" w:eastAsia="Times New Roman" w:hAnsi="Arial" w:cs="Arial"/>
          <w:color w:val="2D2D2D"/>
          <w:spacing w:val="2"/>
          <w:sz w:val="21"/>
          <w:szCs w:val="21"/>
          <w:lang w:eastAsia="ru-RU"/>
        </w:rPr>
        <w:t>Акарицидные обработки проводят за 5-7 дней до заезда детей и перед каждой сменой с обязательной оценкой эффективности проведённых работ;</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создание резерва репеллентов для использования детьми при выходе их за пределы территории учреждения;</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t>- проведение бесед о мерах защиты от нападения клещей с персоналом учреждения и детьми при заезде последних в летние оздоровительные учреждения.</w:t>
      </w:r>
      <w:r w:rsidRPr="00AD6BB2">
        <w:rPr>
          <w:rFonts w:ascii="Arial" w:eastAsia="Times New Roman" w:hAnsi="Arial" w:cs="Arial"/>
          <w:color w:val="2D2D2D"/>
          <w:spacing w:val="2"/>
          <w:sz w:val="21"/>
          <w:szCs w:val="21"/>
          <w:lang w:eastAsia="ru-RU"/>
        </w:rPr>
        <w:br/>
      </w:r>
      <w:proofErr w:type="gramEnd"/>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8.8. Проведение барьерных акарицидных обработок территорий пришкольных летних учреждений проводится при наличии эпидемиологических показаний.</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8.9. На территории субъектов Российской Федерации, где регистрируются случаи заболевания людей КГЛ, должны быть разработаны целевые программы или комплексные планы по профилактике КГЛ, утверждённые органом исполнительной власти субъекта Российской Федерации. Комплексные планы разрабатываются органами и организациями, осуществляющими государственный санитарно-эпидемиологический надзор, </w:t>
      </w:r>
      <w:r w:rsidRPr="00AD6BB2">
        <w:rPr>
          <w:rFonts w:ascii="Arial" w:eastAsia="Times New Roman" w:hAnsi="Arial" w:cs="Arial"/>
          <w:b/>
          <w:bCs/>
          <w:color w:val="2D2D2D"/>
          <w:spacing w:val="2"/>
          <w:sz w:val="21"/>
          <w:szCs w:val="21"/>
          <w:lang w:eastAsia="ru-RU"/>
        </w:rPr>
        <w:t>при участии ветеринарных служб в субъекте Российской Федерации</w:t>
      </w:r>
      <w:r w:rsidRPr="00AD6BB2">
        <w:rPr>
          <w:rFonts w:ascii="Arial" w:eastAsia="Times New Roman" w:hAnsi="Arial" w:cs="Arial"/>
          <w:color w:val="2D2D2D"/>
          <w:spacing w:val="2"/>
          <w:sz w:val="21"/>
          <w:szCs w:val="21"/>
          <w:lang w:eastAsia="ru-RU"/>
        </w:rPr>
        <w:t>, органов исполнительной власти в области охраны здоровья граждан. Аналогичные комплексные планы разрабатываются для административных территорий субъекта Российской Федерации.</w:t>
      </w:r>
      <w:r w:rsidRPr="00AD6BB2">
        <w:rPr>
          <w:rFonts w:ascii="Arial" w:eastAsia="Times New Roman" w:hAnsi="Arial" w:cs="Arial"/>
          <w:color w:val="2D2D2D"/>
          <w:spacing w:val="2"/>
          <w:sz w:val="21"/>
          <w:szCs w:val="21"/>
          <w:lang w:eastAsia="ru-RU"/>
        </w:rPr>
        <w:br/>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AD6BB2">
        <w:rPr>
          <w:rFonts w:ascii="Arial" w:eastAsia="Times New Roman" w:hAnsi="Arial" w:cs="Arial"/>
          <w:color w:val="4C4C4C"/>
          <w:spacing w:val="2"/>
          <w:sz w:val="29"/>
          <w:szCs w:val="29"/>
          <w:lang w:eastAsia="ru-RU"/>
        </w:rPr>
        <w:t>IX. Гигиеническое воспитание населения</w:t>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9.1. Гигиеническое воспитание населения и информационно-разъяснительная работа являются одним из методов профилактики КГЛ.</w:t>
      </w:r>
      <w:r w:rsidRPr="00AD6BB2">
        <w:rPr>
          <w:rFonts w:ascii="Arial" w:eastAsia="Times New Roman" w:hAnsi="Arial" w:cs="Arial"/>
          <w:color w:val="2D2D2D"/>
          <w:spacing w:val="2"/>
          <w:sz w:val="21"/>
          <w:szCs w:val="21"/>
          <w:lang w:eastAsia="ru-RU"/>
        </w:rPr>
        <w:br/>
      </w:r>
    </w:p>
    <w:p w:rsidR="00AD6BB2" w:rsidRPr="00AD6BB2" w:rsidRDefault="00AD6BB2" w:rsidP="00AD6BB2">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AD6BB2">
        <w:rPr>
          <w:rFonts w:ascii="Arial" w:eastAsia="Times New Roman" w:hAnsi="Arial" w:cs="Arial"/>
          <w:color w:val="2D2D2D"/>
          <w:spacing w:val="2"/>
          <w:sz w:val="21"/>
          <w:szCs w:val="21"/>
          <w:lang w:eastAsia="ru-RU"/>
        </w:rPr>
        <w:t>9.2. Гигиеническое воспитание населения включает в себя ознакомление с основными сведениями о носителях и переносчиках возбудителя болезни, возможных условиях заражения, предоставление населению подробной информации об основных симптомах заболевания и мерах личной и общественной профилактики. При этом используются средства массовой информации, листовки, плакаты, бюллетени. К началу эпидемического сезона и в течение всего эпидемического периода проводят инструктажи группам риска, и особенно владельцам частного скота, а также сходы граждан в сельской местности, подворные обходы, индивидуальные беседы с людьми и другие.</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6BB2"/>
    <w:rsid w:val="0043343F"/>
    <w:rsid w:val="00545744"/>
    <w:rsid w:val="005C1B92"/>
    <w:rsid w:val="006875A4"/>
    <w:rsid w:val="008C48F0"/>
    <w:rsid w:val="009216A3"/>
    <w:rsid w:val="00AD6BB2"/>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AD6BB2"/>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AD6BB2"/>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AD6BB2"/>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AD6B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D6BB2"/>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AD6BB2"/>
    <w:rPr>
      <w:rFonts w:ascii="Times New Roman" w:eastAsia="Times New Roman" w:hAnsi="Times New Roman" w:cs="Times New Roman"/>
      <w:b/>
      <w:bCs/>
      <w:sz w:val="27"/>
      <w:szCs w:val="27"/>
      <w:lang w:eastAsia="ru-RU"/>
    </w:rPr>
  </w:style>
  <w:style w:type="paragraph" w:customStyle="1" w:styleId="formattext">
    <w:name w:val="formattext"/>
    <w:basedOn w:val="a"/>
    <w:rsid w:val="00AD6BB2"/>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AD6BB2"/>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AD6BB2"/>
    <w:rPr>
      <w:color w:val="0000FF"/>
      <w:u w:val="single"/>
    </w:rPr>
  </w:style>
</w:styles>
</file>

<file path=word/webSettings.xml><?xml version="1.0" encoding="utf-8"?>
<w:webSettings xmlns:r="http://schemas.openxmlformats.org/officeDocument/2006/relationships" xmlns:w="http://schemas.openxmlformats.org/wordprocessingml/2006/main">
  <w:divs>
    <w:div w:id="270865910">
      <w:bodyDiv w:val="1"/>
      <w:marLeft w:val="0"/>
      <w:marRight w:val="0"/>
      <w:marTop w:val="0"/>
      <w:marBottom w:val="0"/>
      <w:divBdr>
        <w:top w:val="none" w:sz="0" w:space="0" w:color="auto"/>
        <w:left w:val="none" w:sz="0" w:space="0" w:color="auto"/>
        <w:bottom w:val="none" w:sz="0" w:space="0" w:color="auto"/>
        <w:right w:val="none" w:sz="0" w:space="0" w:color="auto"/>
      </w:divBdr>
      <w:divsChild>
        <w:div w:id="72503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765645" TargetMode="External"/><Relationship Id="rId4"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3592</Words>
  <Characters>20479</Characters>
  <Application>Microsoft Office Word</Application>
  <DocSecurity>0</DocSecurity>
  <Lines>170</Lines>
  <Paragraphs>48</Paragraphs>
  <ScaleCrop>false</ScaleCrop>
  <Company>Microsoft</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2017-08-14T13:02:00Z</dcterms:created>
  <dcterms:modified xsi:type="dcterms:W3CDTF">2017-08-14T13:02:00Z</dcterms:modified>
</cp:coreProperties>
</file>