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6" w:rsidRPr="00156606" w:rsidRDefault="00156606" w:rsidP="00156606">
      <w:pPr>
        <w:shd w:val="clear" w:color="auto" w:fill="FFFFFF"/>
        <w:spacing w:before="161" w:after="161"/>
        <w:ind w:left="283" w:right="0" w:firstLine="0"/>
        <w:outlineLvl w:val="0"/>
        <w:rPr>
          <w:rFonts w:eastAsia="Times New Roman" w:cs="Times New Roman"/>
          <w:b/>
          <w:bCs/>
          <w:color w:val="22272F"/>
          <w:kern w:val="36"/>
          <w:sz w:val="25"/>
          <w:szCs w:val="25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kern w:val="36"/>
          <w:sz w:val="25"/>
          <w:szCs w:val="25"/>
          <w:lang w:eastAsia="ru-RU"/>
        </w:rPr>
        <w:t>Приказ Министерства здравоохранения РФ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(с изменениями и дополнениями)</w:t>
      </w:r>
    </w:p>
    <w:p w:rsidR="00156606" w:rsidRPr="00156606" w:rsidRDefault="00156606" w:rsidP="00156606">
      <w:pPr>
        <w:shd w:val="clear" w:color="auto" w:fill="FFFFFF"/>
        <w:ind w:left="283" w:right="0" w:firstLine="0"/>
        <w:rPr>
          <w:rFonts w:eastAsia="Times New Roman" w:cs="Times New Roman"/>
          <w:color w:val="3272C0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3272C0"/>
          <w:sz w:val="14"/>
          <w:szCs w:val="14"/>
          <w:lang w:eastAsia="ru-RU"/>
        </w:rPr>
        <w:t>Развернуть</w:t>
      </w:r>
    </w:p>
    <w:p w:rsidR="00156606" w:rsidRPr="00156606" w:rsidRDefault="00156606" w:rsidP="00156606">
      <w:pPr>
        <w:numPr>
          <w:ilvl w:val="0"/>
          <w:numId w:val="1"/>
        </w:numPr>
        <w:shd w:val="clear" w:color="auto" w:fill="FFFFFF"/>
        <w:spacing w:after="0"/>
        <w:ind w:left="240" w:right="0"/>
        <w:rPr>
          <w:rFonts w:eastAsia="Times New Roman" w:cs="Times New Roman"/>
          <w:color w:val="22272F"/>
          <w:sz w:val="14"/>
          <w:szCs w:val="14"/>
          <w:lang w:eastAsia="ru-RU"/>
        </w:rPr>
      </w:pPr>
      <w:hyperlink r:id="rId5" w:anchor="text" w:history="1">
        <w:r w:rsidRPr="00156606">
          <w:rPr>
            <w:rFonts w:eastAsia="Times New Roman" w:cs="Times New Roman"/>
            <w:color w:val="22272F"/>
            <w:sz w:val="14"/>
            <w:u w:val="single"/>
            <w:lang w:eastAsia="ru-RU"/>
          </w:rPr>
          <w:t>Приказ Министерства здравоохранения РФ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(с изменениями и дополнениями)</w:t>
        </w:r>
      </w:hyperlink>
    </w:p>
    <w:p w:rsidR="00156606" w:rsidRPr="00156606" w:rsidRDefault="00156606" w:rsidP="00156606">
      <w:pPr>
        <w:numPr>
          <w:ilvl w:val="0"/>
          <w:numId w:val="1"/>
        </w:numPr>
        <w:shd w:val="clear" w:color="auto" w:fill="FFFFFF"/>
        <w:spacing w:after="0"/>
        <w:ind w:left="240" w:right="0"/>
        <w:rPr>
          <w:rFonts w:eastAsia="Times New Roman" w:cs="Times New Roman"/>
          <w:color w:val="22272F"/>
          <w:sz w:val="14"/>
          <w:szCs w:val="14"/>
          <w:lang w:eastAsia="ru-RU"/>
        </w:rPr>
      </w:pPr>
      <w:r>
        <w:rPr>
          <w:rFonts w:eastAsia="Times New Roman" w:cs="Times New Roman"/>
          <w:noProof/>
          <w:color w:val="22272F"/>
          <w:sz w:val="14"/>
          <w:szCs w:val="14"/>
          <w:lang w:eastAsia="ru-RU"/>
        </w:rPr>
        <w:drawing>
          <wp:inline distT="0" distB="0" distL="0" distR="0">
            <wp:extent cx="43180" cy="86360"/>
            <wp:effectExtent l="19050" t="0" r="0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> </w:t>
      </w:r>
      <w:hyperlink r:id="rId7" w:anchor="block_1000" w:history="1">
        <w:r w:rsidRPr="00156606">
          <w:rPr>
            <w:rFonts w:eastAsia="Times New Roman" w:cs="Times New Roman"/>
            <w:color w:val="22272F"/>
            <w:sz w:val="14"/>
            <w:u w:val="single"/>
            <w:lang w:eastAsia="ru-RU"/>
          </w:rPr>
          <w:t>Приложение N 1. Национальный календарь профилактических прививок</w:t>
        </w:r>
      </w:hyperlink>
    </w:p>
    <w:p w:rsidR="00156606" w:rsidRPr="00156606" w:rsidRDefault="00156606" w:rsidP="00156606">
      <w:pPr>
        <w:numPr>
          <w:ilvl w:val="0"/>
          <w:numId w:val="1"/>
        </w:numPr>
        <w:shd w:val="clear" w:color="auto" w:fill="FFFFFF"/>
        <w:spacing w:after="0"/>
        <w:ind w:left="240" w:right="0"/>
        <w:rPr>
          <w:rFonts w:eastAsia="Times New Roman" w:cs="Times New Roman"/>
          <w:color w:val="22272F"/>
          <w:sz w:val="14"/>
          <w:szCs w:val="14"/>
          <w:lang w:eastAsia="ru-RU"/>
        </w:rPr>
      </w:pPr>
      <w:r>
        <w:rPr>
          <w:rFonts w:eastAsia="Times New Roman" w:cs="Times New Roman"/>
          <w:noProof/>
          <w:color w:val="22272F"/>
          <w:sz w:val="14"/>
          <w:szCs w:val="14"/>
          <w:lang w:eastAsia="ru-RU"/>
        </w:rPr>
        <w:drawing>
          <wp:inline distT="0" distB="0" distL="0" distR="0">
            <wp:extent cx="43180" cy="86360"/>
            <wp:effectExtent l="19050" t="0" r="0" b="0"/>
            <wp:docPr id="2" name="closed_img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3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> </w:t>
      </w:r>
      <w:hyperlink r:id="rId8" w:anchor="block_2000" w:history="1">
        <w:r w:rsidRPr="00156606">
          <w:rPr>
            <w:rFonts w:eastAsia="Times New Roman" w:cs="Times New Roman"/>
            <w:color w:val="22272F"/>
            <w:sz w:val="14"/>
            <w:u w:val="single"/>
            <w:lang w:eastAsia="ru-RU"/>
          </w:rPr>
          <w:t>Приложение N 2. Календарь профилактических прививок по эпидемическим показаниям</w:t>
        </w:r>
      </w:hyperlink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jc w:val="center"/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</w:pPr>
      <w:bookmarkStart w:id="0" w:name="text"/>
      <w:bookmarkEnd w:id="0"/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Приказ Министерства здравоохранения РФ от 21 марта 2014 г. N 125н</w:t>
      </w:r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156606" w:rsidRPr="00156606" w:rsidRDefault="00156606" w:rsidP="00156606">
      <w:pPr>
        <w:pBdr>
          <w:bottom w:val="dotted" w:sz="4" w:space="0" w:color="3272C0"/>
        </w:pBdr>
        <w:shd w:val="clear" w:color="auto" w:fill="FFFFFF"/>
        <w:spacing w:after="227"/>
        <w:ind w:left="0" w:right="0" w:firstLine="0"/>
        <w:outlineLvl w:val="3"/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от</w:t>
      </w:r>
      <w:proofErr w:type="gramEnd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16 июня 2016 г., 13 апреля 2017 г.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В соответствии со </w:t>
      </w:r>
      <w:hyperlink r:id="rId9" w:anchor="block_9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статьями 9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и </w:t>
      </w:r>
      <w:hyperlink r:id="rId10" w:anchor="block_1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10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Федерального закона от 17 сентября 1998 г. N 157-ФЗ "Об иммунопрофилактике инфекционных болезней" (Собрание законодательства Российской Федерации, 1998, N 38, ст. 4736; 2000, N 33, ст. 3348; 2003, N 2, ст. 167; 2004, N 35, ст. 3607; 2005, N 1, ст. 25; 2006, N 27, ст. 2879;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2007, N 43, ст. 5084; N 49, ст. 6070; 2008, N 30, ст. 3616; N 52, ст. 6236; 2009, N 1, ст. 21; N 30, ст. 3739; 2010, N 50, ст. 6599; 2011, N 30, ст. 4590; 2012, N 53, ст. 7589; 2013, N 19, ст. 2331; N 27, ст. 3477;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N 48, ст. 6165; N 51, ст. 6688) приказываю:</w:t>
      </w:r>
      <w:proofErr w:type="gramEnd"/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Утвердить: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национальный календарь профилактических прививок согласно </w:t>
      </w:r>
      <w:hyperlink r:id="rId11" w:anchor="block_10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приложению N 1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;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календарь профилактических прививок по эпидемическим показаниям согласно </w:t>
      </w:r>
      <w:hyperlink r:id="rId12" w:anchor="block_20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приложению N 2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156606" w:rsidRPr="00156606" w:rsidTr="00156606">
        <w:tc>
          <w:tcPr>
            <w:tcW w:w="3300" w:type="pct"/>
            <w:shd w:val="clear" w:color="auto" w:fill="FFFFFF"/>
            <w:vAlign w:val="bottom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56606" w:rsidRPr="00156606" w:rsidRDefault="00156606" w:rsidP="00156606">
            <w:pPr>
              <w:spacing w:after="227"/>
              <w:ind w:left="0" w:right="0" w:firstLine="0"/>
              <w:jc w:val="right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В.И. Скворцова</w:t>
            </w:r>
          </w:p>
        </w:tc>
      </w:tr>
    </w:tbl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 xml:space="preserve">Зарегистрировано в </w:t>
      </w:r>
      <w:proofErr w:type="gramStart"/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>Минюсте</w:t>
      </w:r>
      <w:proofErr w:type="gramEnd"/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 xml:space="preserve"> РФ 25 апреля 2014 г.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t>Регистрационный N 32115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13" w:anchor="block_1001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Приказом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Минздрава России от 13 апреля 2017 г. N 175н в приложение внесены изменения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14" w:anchor="block_10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См. те</w:t>
        </w:r>
        <w:proofErr w:type="gramStart"/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кст пр</w:t>
        </w:r>
        <w:proofErr w:type="gramEnd"/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иложения в предыдущей редакции</w:t>
        </w:r>
      </w:hyperlink>
    </w:p>
    <w:p w:rsidR="00156606" w:rsidRPr="00156606" w:rsidRDefault="00156606" w:rsidP="00156606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Приложение N 1</w:t>
      </w:r>
      <w:r w:rsidRPr="00156606">
        <w:rPr>
          <w:rFonts w:eastAsia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к </w:t>
      </w:r>
      <w:hyperlink r:id="rId15" w:history="1">
        <w:r w:rsidRPr="00156606">
          <w:rPr>
            <w:rFonts w:eastAsia="Times New Roman" w:cs="Times New Roman"/>
            <w:b/>
            <w:bCs/>
            <w:color w:val="3272C0"/>
            <w:sz w:val="18"/>
            <w:u w:val="single"/>
            <w:lang w:eastAsia="ru-RU"/>
          </w:rPr>
          <w:t>приказу</w:t>
        </w:r>
      </w:hyperlink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 Министерства здравоохранения РФ</w:t>
      </w:r>
      <w:r w:rsidRPr="00156606">
        <w:rPr>
          <w:rFonts w:eastAsia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от 21 марта 2014 г. N 125н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jc w:val="center"/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Национальный календарь профилактических прививок</w:t>
      </w:r>
    </w:p>
    <w:p w:rsidR="00156606" w:rsidRPr="00156606" w:rsidRDefault="00156606" w:rsidP="00156606">
      <w:pPr>
        <w:pBdr>
          <w:bottom w:val="dotted" w:sz="4" w:space="0" w:color="3272C0"/>
        </w:pBdr>
        <w:shd w:val="clear" w:color="auto" w:fill="FFFFFF"/>
        <w:spacing w:after="227"/>
        <w:ind w:left="0" w:right="0" w:firstLine="0"/>
        <w:outlineLvl w:val="3"/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от</w:t>
      </w:r>
      <w:proofErr w:type="gramEnd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16 июня 2016 г., 13 апреля 2017 г.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См. </w:t>
      </w:r>
      <w:hyperlink r:id="rId16" w:anchor="block_8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Порядок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проведения профилактических прививок согласно национальному календарю профилактических прививок, приведенный в </w:t>
      </w:r>
      <w:hyperlink r:id="rId17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МУ 3.3.1889-04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, утвержденных Главным государственным санитарным врачом РФ 4 марта 2004 г.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См. </w:t>
      </w:r>
      <w:hyperlink r:id="rId18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Методические указания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МУ 3.3.1.1095-02 "Медицинские противопоказания к проведению профилактических прививок препаратами национального календаря прививок", утвержденные Главным государственным санитарным врачом РФ от 9 января 2002 г.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2"/>
        <w:gridCol w:w="30"/>
        <w:gridCol w:w="6084"/>
        <w:gridCol w:w="454"/>
      </w:tblGrid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227"/>
              <w:ind w:left="0" w:right="0" w:firstLine="0"/>
              <w:jc w:val="center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227"/>
              <w:ind w:left="0" w:right="0" w:firstLine="0"/>
              <w:jc w:val="center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Наименование профилактической прививки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Новорожденные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 первые 24 часа жизни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вакцинация против вирусного гепатита В</w:t>
            </w:r>
            <w:hyperlink r:id="rId19" w:anchor="block_1000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Новорожденные на 3-7 день жизни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Вакцинация против туберкулеза</w:t>
            </w:r>
            <w:hyperlink r:id="rId20" w:anchor="block_10002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вакцинация против вирусного гепатита В</w:t>
            </w:r>
            <w:hyperlink r:id="rId21" w:anchor="block_1000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В (группы риска)</w:t>
            </w:r>
            <w:hyperlink r:id="rId22" w:anchor="block_10003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Дети 3 месяца</w:t>
            </w:r>
            <w:hyperlink r:id="rId23" w:anchor="block_10061" w:history="1">
              <w:r w:rsidRPr="00156606">
                <w:rPr>
                  <w:rFonts w:eastAsia="Times New Roman" w:cs="Times New Roman"/>
                  <w:color w:val="3272C0"/>
                  <w:sz w:val="18"/>
                  <w:u w:val="single"/>
                  <w:lang w:eastAsia="ru-RU"/>
                </w:rPr>
                <w:t>(6.1)</w:t>
              </w:r>
            </w:hyperlink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вакцинация против полиомиелита</w:t>
            </w:r>
            <w:hyperlink r:id="rId24" w:anchor="block_10004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Первая вакцинация 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 (группы риска)</w:t>
            </w:r>
            <w:hyperlink r:id="rId25" w:anchor="block_10005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4,5 месяца</w:t>
            </w:r>
            <w:hyperlink r:id="rId26" w:anchor="block_1006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(6.1)</w:t>
              </w:r>
            </w:hyperlink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Вторая вакцинация 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 (группы риска)</w:t>
            </w:r>
            <w:hyperlink r:id="rId27" w:anchor="block_10005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вакцинация против полиомиелита</w:t>
            </w:r>
            <w:hyperlink r:id="rId28" w:anchor="block_10004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6 месяцев</w:t>
            </w:r>
            <w:hyperlink r:id="rId29" w:anchor="block_1006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(6.1)</w:t>
              </w:r>
            </w:hyperlink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В</w:t>
            </w:r>
            <w:hyperlink r:id="rId30" w:anchor="block_1000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вакцинация против полиомиелита</w:t>
            </w:r>
            <w:hyperlink r:id="rId31" w:anchor="block_10006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Третья вакцинация 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 (группа риска)</w:t>
            </w:r>
            <w:hyperlink r:id="rId32" w:anchor="block_10005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Четвертая вакцинация против вирусного гепатита В (группы риска)</w:t>
            </w:r>
            <w:hyperlink r:id="rId33" w:anchor="block_10003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18 месяцев</w:t>
            </w:r>
            <w:hyperlink r:id="rId34" w:anchor="block_10061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(6.1)</w:t>
              </w:r>
            </w:hyperlink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ревакцинация против полиомиелита</w:t>
            </w:r>
            <w:hyperlink r:id="rId35" w:anchor="block_10006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Ревакцинация 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 (группы риска)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ревакцинация против полиомиелита</w:t>
            </w:r>
            <w:hyperlink r:id="rId36" w:anchor="block_10006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6-7 лет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  <w:hyperlink r:id="rId37" w:anchor="block_10007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Ревакцинация против туберкулеза</w:t>
            </w:r>
            <w:hyperlink r:id="rId38" w:anchor="block_10008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ревакцинация против дифтерии, столбняка</w:t>
            </w:r>
            <w:hyperlink r:id="rId39" w:anchor="block_10007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Третья ревакцинация против полиомиелита</w:t>
            </w:r>
            <w:hyperlink r:id="rId40" w:anchor="block_10006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от 1 года до 18 лет, взрослые от 18 до 55 лет, не привитые ранее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Вакцинация против вирусного гепатита В</w:t>
            </w:r>
            <w:hyperlink r:id="rId41" w:anchor="block_10009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*(9)</w:t>
              </w:r>
            </w:hyperlink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от 1 года до 18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Вакцинация против краснухи, ревакцинация против краснухи</w:t>
            </w:r>
          </w:p>
        </w:tc>
      </w:tr>
      <w:tr w:rsidR="00156606" w:rsidRPr="00156606" w:rsidTr="00156606">
        <w:trPr>
          <w:gridAfter w:val="1"/>
          <w:wAfter w:w="480" w:type="dxa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от 1 года до 18 лет (включительно) и взрослые до 35 лет (включительно), не болевшие, не привитые, привитые однократно, не имеющие сведения о прививках против кори; взрослые от 36 до 55 лет (включительно), относящиеся к группам риска (работники </w:t>
            </w: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медицинских и образовательных организаций, организаций торговли, транспорта, коммунальной и социальной сферы;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вахтовым методом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  <w:proofErr w:type="gramEnd"/>
          </w:p>
        </w:tc>
        <w:tc>
          <w:tcPr>
            <w:tcW w:w="63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Вакцинация против кори, ревакцинация против кори</w:t>
            </w:r>
            <w:hyperlink r:id="rId42" w:anchor="block_10010" w:history="1">
              <w:r w:rsidRPr="00156606">
                <w:rPr>
                  <w:rFonts w:eastAsia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*(10)</w:t>
              </w:r>
            </w:hyperlink>
          </w:p>
        </w:tc>
      </w:tr>
      <w:tr w:rsidR="00156606" w:rsidRPr="00156606" w:rsidTr="00156606">
        <w:tc>
          <w:tcPr>
            <w:tcW w:w="3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Дети с 6 месяцев, учащиеся 1-11 классов;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профессиональных образовательных организациях и образовательных организациях высшего образования;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беременные женщины;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взрослые старше 60 лет;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подлежащие призыву на военную службу;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 с хроническими заболеваниями, в том числе с заболеваниями легких, </w:t>
            </w:r>
            <w:proofErr w:type="spellStart"/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сердечно-сосудистыми</w:t>
            </w:r>
            <w:proofErr w:type="spellEnd"/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63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22272F"/>
          <w:sz w:val="14"/>
          <w:szCs w:val="14"/>
          <w:lang w:eastAsia="ru-RU"/>
        </w:rPr>
      </w:pPr>
      <w:r w:rsidRPr="00156606">
        <w:rPr>
          <w:rFonts w:ascii="Courier New" w:eastAsia="Times New Roman" w:hAnsi="Courier New" w:cs="Courier New"/>
          <w:color w:val="22272F"/>
          <w:sz w:val="14"/>
          <w:szCs w:val="14"/>
          <w:lang w:eastAsia="ru-RU"/>
        </w:rPr>
        <w:t>______________________________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*(1)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В которых проводится по схеме 0-1-2-12 (1 доза - в момент начала вакцинации, 2 доза - через месяц после 1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прививки, 2 доза - через 2 месяца от начала вакцинации, 3 доза - через 12 месяцев от начала вакцинации).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*(2)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*(3) Вакцинация проводится детям, относящимся к группам риска (родившимся от матерей носителей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HBsAg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, больных вирусным гепатитом В или перенесших вирусный гепатит В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в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HBsAg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или больной острым вирусным гепатитом В и хроническими вирусными гепатитами).</w:t>
      </w:r>
      <w:proofErr w:type="gramEnd"/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*(4) Первая и вторая вакцинации проводятся вакциной для профилактики полиомиелита (инактивированной).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(5) Вакцинация проводится детям, относящимся к группам риска (с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иммунодефицитными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гемофильной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инфекцией; с </w:t>
      </w: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lastRenderedPageBreak/>
        <w:t xml:space="preserve">аномалиями развития кишечника; с онкологическими заболеваниями и/или длительно получающим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иммуносупрессивную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терапию; детям, рожденным от матерей с ВИЧ-инфекцией; детям с ВИЧ-инфекцией; недоношенным и маловесным детям; детям, находящимся в домах ребенка).</w:t>
      </w:r>
      <w:proofErr w:type="gramEnd"/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(6) Третья вакцинация и последующие ревакцинации против полиомиелита проводятся детям вакциной для профилактики полиомиелита (живой); детям, относящимся к группам риска (с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иммунодефицитными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гемофильной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инфекцией; с аномалиями развития кишечника; с онкологическими заболеваниями и/или длительно получающим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иммуносупрессивную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терапию; детям, рожденным от матерей с ВИЧ-инфекцией;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детям с ВИЧ-инфекцией; недоношенным и маловесным детям; детям, находящимся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домах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ребенка) - вакциной для профилактики полиомиелита (инактивированной).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(6.1) 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предназначенных для применения в соответствующие возрастные периоды.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*(7) Вторая ревакцинация проводится анатоксинами с уменьшенным содержанием антигенов.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*(8) Ревакцинация проводится вакциной для профилактики туберкулеза (БЦЖ).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*(9) Вакцинация проводится детям и взрослым, ранее не привитым против вирусного гепатита В,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*(10) Интервал между первой и второй прививками должен составлять не менее 3 месяцев.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jc w:val="center"/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 xml:space="preserve">Порядок проведения гражданам профилактических прививок в </w:t>
      </w:r>
      <w:proofErr w:type="gramStart"/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рамках</w:t>
      </w:r>
      <w:proofErr w:type="gramEnd"/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 xml:space="preserve"> национального календаря профилактических прививок</w:t>
      </w:r>
    </w:p>
    <w:p w:rsidR="00156606" w:rsidRPr="00156606" w:rsidRDefault="00156606" w:rsidP="00156606">
      <w:pPr>
        <w:pBdr>
          <w:bottom w:val="dotted" w:sz="4" w:space="0" w:color="3272C0"/>
        </w:pBdr>
        <w:shd w:val="clear" w:color="auto" w:fill="FFFFFF"/>
        <w:spacing w:after="227"/>
        <w:ind w:left="0" w:right="0" w:firstLine="0"/>
        <w:outlineLvl w:val="3"/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от</w:t>
      </w:r>
      <w:proofErr w:type="gramEnd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13 апреля 2017 г.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1.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  <w:proofErr w:type="gramEnd"/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43" w:anchor="block_1014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Приказом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Минздрава России от 13 апреля 2017 г. N 175н в пункт 3 внесены изменения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44" w:anchor="block_1103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См. текст пункта в предыдущей редакции</w:t>
        </w:r>
      </w:hyperlink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3. Вакцинация и ревакцинация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рамках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 </w:t>
      </w:r>
      <w:hyperlink r:id="rId45" w:anchor="block_6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законодательством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Российской Федерации, согласно инструкциям по их применению.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случаях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, предусмотренных национальным календарем профилактических прививок, допускается проведение вакцинации и ревакцинации иммунобиологическими лекарственными препаратами для иммунопрофилактики инфекционных болезней, содержащими комбинации вакцин.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4.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поствакцинальные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 </w:t>
      </w:r>
      <w:hyperlink r:id="rId46" w:anchor="block_2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статьи 20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Федерального закона от 21 ноября 2011 г. N 323-ФЗ "Об основах охраны здоровья граждан в Российской Федерации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"</w:t>
      </w:r>
      <w:hyperlink r:id="rId47" w:anchor="block_11111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*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</w:t>
      </w:r>
      <w:hyperlink r:id="rId48" w:anchor="block_22222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**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6.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рамках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национального календаря профилактических прививок, в один день разными шприцами в разные участки тела.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lastRenderedPageBreak/>
        <w:t>7. 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8.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9. Ревакцинация детей против туберкулеза, рожденных от матерей с ВИЧ-инфекцией и получавших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трехэтапную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химиопрофилактику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10. Вакцинация живыми вакцинами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рамках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11. 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12. Анатоксины, убитые и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рекомбинантные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вакцины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рамках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13.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14. При проведении вакцинации против гепатита В детей первого года жизни,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22272F"/>
          <w:sz w:val="14"/>
          <w:szCs w:val="14"/>
          <w:lang w:eastAsia="ru-RU"/>
        </w:rPr>
      </w:pPr>
      <w:r w:rsidRPr="00156606">
        <w:rPr>
          <w:rFonts w:ascii="Courier New" w:eastAsia="Times New Roman" w:hAnsi="Courier New" w:cs="Courier New"/>
          <w:color w:val="22272F"/>
          <w:sz w:val="14"/>
          <w:szCs w:val="14"/>
          <w:lang w:eastAsia="ru-RU"/>
        </w:rPr>
        <w:t>______________________________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 Собрание законодательства Российской Федерации, 2012, N 26, ст. 3442; N 26, ст. 3446; 2013, N 27, ст. 3459; N 27, ст. 3477; N 30, ст. 4038; N 39, ст. 4883; N 48, ст. 6165; N 52, ст. 6951.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** </w:t>
      </w:r>
      <w:hyperlink r:id="rId49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23 марта 2012 г.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 г., регистрационный номер N 23971).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50" w:anchor="block_2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Приказом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Минздрава России от 16 июня 2016 г. N 370н в приложение внесены изменения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51" w:anchor="block_20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См. те</w:t>
        </w:r>
        <w:proofErr w:type="gramStart"/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кст пр</w:t>
        </w:r>
        <w:proofErr w:type="gramEnd"/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иложения в предыдущей редакции</w:t>
        </w:r>
      </w:hyperlink>
    </w:p>
    <w:p w:rsidR="00156606" w:rsidRPr="00156606" w:rsidRDefault="00156606" w:rsidP="00156606">
      <w:pPr>
        <w:shd w:val="clear" w:color="auto" w:fill="FFFFFF"/>
        <w:spacing w:after="0"/>
        <w:ind w:left="0" w:right="0" w:firstLine="680"/>
        <w:jc w:val="right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Приложение N 2</w:t>
      </w:r>
      <w:r w:rsidRPr="00156606">
        <w:rPr>
          <w:rFonts w:eastAsia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к </w:t>
      </w:r>
      <w:hyperlink r:id="rId52" w:history="1">
        <w:r w:rsidRPr="00156606">
          <w:rPr>
            <w:rFonts w:eastAsia="Times New Roman" w:cs="Times New Roman"/>
            <w:b/>
            <w:bCs/>
            <w:color w:val="3272C0"/>
            <w:sz w:val="18"/>
            <w:u w:val="single"/>
            <w:lang w:eastAsia="ru-RU"/>
          </w:rPr>
          <w:t>приказу</w:t>
        </w:r>
      </w:hyperlink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 Министерства здравоохранения РФ</w:t>
      </w:r>
      <w:r w:rsidRPr="00156606">
        <w:rPr>
          <w:rFonts w:eastAsia="Times New Roman" w:cs="Times New Roman"/>
          <w:b/>
          <w:bCs/>
          <w:color w:val="22272F"/>
          <w:sz w:val="18"/>
          <w:szCs w:val="18"/>
          <w:lang w:eastAsia="ru-RU"/>
        </w:rPr>
        <w:br/>
      </w:r>
      <w:r w:rsidRPr="00156606">
        <w:rPr>
          <w:rFonts w:eastAsia="Times New Roman" w:cs="Times New Roman"/>
          <w:b/>
          <w:bCs/>
          <w:color w:val="22272F"/>
          <w:sz w:val="18"/>
          <w:lang w:eastAsia="ru-RU"/>
        </w:rPr>
        <w:t>от 21 марта 2014 г. N 125н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jc w:val="center"/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Календарь профилактических прививок по эпидемическим показаниям</w:t>
      </w:r>
    </w:p>
    <w:p w:rsidR="00156606" w:rsidRPr="00156606" w:rsidRDefault="00156606" w:rsidP="00156606">
      <w:pPr>
        <w:pBdr>
          <w:bottom w:val="dotted" w:sz="4" w:space="0" w:color="3272C0"/>
        </w:pBdr>
        <w:shd w:val="clear" w:color="auto" w:fill="FFFFFF"/>
        <w:spacing w:after="227"/>
        <w:ind w:left="0" w:right="0" w:firstLine="0"/>
        <w:outlineLvl w:val="3"/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от</w:t>
      </w:r>
      <w:proofErr w:type="gramEnd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16 июня 2016 г., 13 апреля 2017 г.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ГАРАНТ: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См. </w:t>
      </w:r>
      <w:hyperlink r:id="rId53" w:anchor="block_90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Порядок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проведения профилактических прививок по эпидемическим показаниям, приведенный в Методических указаниях </w:t>
      </w:r>
      <w:hyperlink r:id="rId54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МУ 3.3.1889-04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, утвержденных Главным государственным санитарным врачом РФ 4 марта 2004 г.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3"/>
        <w:gridCol w:w="7212"/>
      </w:tblGrid>
      <w:tr w:rsidR="00156606" w:rsidRPr="00156606" w:rsidTr="00156606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227"/>
              <w:ind w:left="0" w:right="0" w:firstLine="0"/>
              <w:jc w:val="center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7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227"/>
              <w:ind w:left="0" w:right="0" w:firstLine="0"/>
              <w:jc w:val="center"/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</w:pPr>
            <w:r w:rsidRPr="00156606">
              <w:rPr>
                <w:rFonts w:eastAsia="Times New Roman" w:cs="Times New Roman"/>
                <w:color w:val="464C55"/>
                <w:sz w:val="18"/>
                <w:szCs w:val="18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туляремии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проживающие на энзоотичных по туляремии территориях, а </w:t>
            </w: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также прибывшие на эти территории лица, выполняющие следующие работы: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proofErr w:type="gramEnd"/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и дезинсекционные;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 чумы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проживающие на энзоотичных по чуме территориях. Лица, работающие с живыми культурами возбудителя чумы.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бруцеллеза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очагах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козье-овечьего типа бруцеллеза лица, выполняющие следующие работы: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убою скота, больного бруцеллезом, заготовке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и переработке полученных от него мяса и мясопродуктов.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Животноводы, ветеринарные работники, зоотехники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, энзоотичных по бруцеллезу.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бруцеллеза.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сибирской язвы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зооветработники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бешенства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С профилактической целью вакцинируют лиц, имеющих высокий риск заражения бешенством: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"уличным" вирусом бешенства;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ветеринарные работники; егеря, охотники, лесники;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выполняющие работы по отлову и содержанию животных.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лептоспироза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отлову и содержанию безнадзорных животных.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клещевого вирусного энцефалита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проживающие на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эндемичных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клещевому вирусному энцефалиту территориях; лица, выезжающие на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эндемичные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клещевому вирусному энцефалиту территории, а также прибывшие </w:t>
            </w: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эти территории лица, выполняющие следующие работы: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Против лихорадки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выполняющие работы по заготовке, хранению и переработке сельскохозяйственной продукции на энзоотичных территориях по лихорадке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работающие с живыми культурами возбудителей лихорадки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желтой лихорадки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возбудителя желтой лихорадки.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холеры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выезжающие в неблагополучные по холере страны (регионы).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брюшного тифа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работающие с живыми культурами возбудителей брюшного тифа.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выезжающие 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гиперэндемичные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брюшному тифу страны (регионы).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Контактные лица в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очагах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брюшного тифа по эпидемическим показаниям.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вирусного гепатита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проживающие в регионах, неблагополучных по заболеваемости гепатитом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выезжающие в неблагополучные страны (регионы), где регистрируется вспышечная заболеваемость гепатитом А. </w:t>
            </w: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Контактные лица в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очагах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гепатита А.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шигеллезов</w:t>
            </w:r>
            <w:proofErr w:type="spellEnd"/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шигеллезами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менингококковой инфекции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серогрупп</w:t>
            </w:r>
            <w:proofErr w:type="spellEnd"/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С.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Вакцинация проводится 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эндемичных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регионах, а также в случае эпидемии, вызванной менингококками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серогрупп</w:t>
            </w:r>
            <w:proofErr w:type="spellEnd"/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С.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вирусного гепатита В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В.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диким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дети с 3 месяцев до 18 лет - однократно;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- медицинские работники - однократно;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дети, прибывшие из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эндемичных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 лица, контактировавшие с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прибывшими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эндемичных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(неблагополучных) по полиомиелиту стран (регионов), с 3 месяцев жизни без ограничения возраста - однократно;</w:t>
            </w:r>
          </w:p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лица, работающие с живым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, с материалами, инфицированными (потенциально инфицированными) диким вирусом полиомиелита без ограничения возраста, - однократно при приеме на работу.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пневмококковой инфекции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 </w:t>
            </w:r>
            <w:proofErr w:type="gram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возрасте</w:t>
            </w:r>
            <w:proofErr w:type="gram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 до 5 лет, взрослые из групп риска, включая лиц, подлежащих призыву на военную службу, а также лиц старше 60 лет, </w:t>
            </w: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страдающих хроническими заболеваниями легких.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ротавирусами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Против ветряной оспы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156606" w:rsidRPr="00156606" w:rsidTr="00156606"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6606" w:rsidRPr="00156606" w:rsidRDefault="00156606" w:rsidP="001566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Дети, не привитые на первом году жизни против </w:t>
            </w:r>
            <w:proofErr w:type="spellStart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>гемофильной</w:t>
            </w:r>
            <w:proofErr w:type="spellEnd"/>
            <w:r w:rsidRPr="00156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</w:tr>
    </w:tbl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jc w:val="center"/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</w:pPr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 xml:space="preserve">Порядок проведения гражданам профилактических прививок в </w:t>
      </w:r>
      <w:proofErr w:type="gramStart"/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рамках</w:t>
      </w:r>
      <w:proofErr w:type="gramEnd"/>
      <w:r w:rsidRPr="00156606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 xml:space="preserve"> календаря профилактических прививок по эпидемическим показаниям</w:t>
      </w:r>
    </w:p>
    <w:p w:rsidR="00156606" w:rsidRPr="00156606" w:rsidRDefault="00156606" w:rsidP="00156606">
      <w:pPr>
        <w:pBdr>
          <w:bottom w:val="dotted" w:sz="4" w:space="0" w:color="3272C0"/>
        </w:pBdr>
        <w:shd w:val="clear" w:color="auto" w:fill="FFFFFF"/>
        <w:spacing w:after="227"/>
        <w:ind w:left="0" w:right="0" w:firstLine="0"/>
        <w:outlineLvl w:val="3"/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</w:pPr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 xml:space="preserve">С изменениями и дополнениями </w:t>
      </w:r>
      <w:proofErr w:type="gramStart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от</w:t>
      </w:r>
      <w:proofErr w:type="gramEnd"/>
      <w:r w:rsidRPr="00156606">
        <w:rPr>
          <w:rFonts w:eastAsia="Times New Roman" w:cs="Times New Roman"/>
          <w:b/>
          <w:bCs/>
          <w:color w:val="3272C0"/>
          <w:sz w:val="18"/>
          <w:szCs w:val="18"/>
          <w:lang w:eastAsia="ru-RU"/>
        </w:rPr>
        <w:t>: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13 апреля 2017 г.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1.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  <w:proofErr w:type="gramEnd"/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2. Вакцинацию осуществляют медицинские работники, прошедшие обучение по вопросам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3. Вакцинация и ревакцинация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рамках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4.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поствакцинальные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 </w:t>
      </w:r>
      <w:hyperlink r:id="rId55" w:anchor="block_20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статьи 20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Федерального закона от 21 ноября 2011 г. N 323-ФЗ "Об основах охраны здоровья граждан в Российской Федерации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".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5. Все лица, которым должны проводиться профилактические прививки, предварительно подвергаются осмотру врачом (фельдшером)</w:t>
      </w:r>
      <w:hyperlink r:id="rId56" w:anchor="block_22223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*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6. 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outlineLvl w:val="3"/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</w:pPr>
      <w:r w:rsidRPr="00156606">
        <w:rPr>
          <w:rFonts w:eastAsia="Times New Roman" w:cs="Times New Roman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156606" w:rsidRPr="00156606" w:rsidRDefault="00156606" w:rsidP="00156606">
      <w:pPr>
        <w:shd w:val="clear" w:color="auto" w:fill="F0E9D3"/>
        <w:spacing w:after="0"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57" w:anchor="block_1002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Приказом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 Минздрава России от 13 апреля 2017 г. N 175н пункт 7 изложен в новой редакции</w:t>
      </w:r>
    </w:p>
    <w:p w:rsidR="00156606" w:rsidRPr="00156606" w:rsidRDefault="00156606" w:rsidP="00156606">
      <w:pPr>
        <w:shd w:val="clear" w:color="auto" w:fill="F0E9D3"/>
        <w:spacing w:line="264" w:lineRule="atLeast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hyperlink r:id="rId58" w:anchor="block_2107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См. текст пункта в предыдущей редакции</w:t>
        </w:r>
      </w:hyperlink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7.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детей вакциной для профилактики полиомиелита (живой) по эпидемическим показаниям являются регистрация случая полиомиелита, вызванного диким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полиовирусом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, выделение дикого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полиовируса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в биологическом материале человека или из объектов окружающей среды. Показаниями для проведения вакцинации детей вакциной для профилактики полиомиелита (инактивированной) по эпидемическим показаниям являются регистрация случая полиомиелита, вызванного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вакцинородственным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штаммом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полиовируса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, выделение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вакцинородственного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штамма </w:t>
      </w:r>
      <w:proofErr w:type="spell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полиовируса</w:t>
      </w:r>
      <w:proofErr w:type="spell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в биологическом материале человека или из объектов окружающей среды.</w:t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Вакцинация против полиомиелита по эпидемическим показаниям проводится в </w:t>
      </w: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соответствии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22272F"/>
          <w:sz w:val="14"/>
          <w:szCs w:val="14"/>
          <w:lang w:eastAsia="ru-RU"/>
        </w:rPr>
      </w:pPr>
      <w:r w:rsidRPr="00156606">
        <w:rPr>
          <w:rFonts w:eastAsia="Times New Roman" w:cs="Times New Roman"/>
          <w:color w:val="22272F"/>
          <w:sz w:val="14"/>
          <w:szCs w:val="14"/>
          <w:lang w:eastAsia="ru-RU"/>
        </w:rPr>
        <w:br/>
      </w:r>
    </w:p>
    <w:p w:rsidR="00156606" w:rsidRPr="00156606" w:rsidRDefault="00156606" w:rsidP="00156606">
      <w:pPr>
        <w:shd w:val="clear" w:color="auto" w:fill="FFFFFF"/>
        <w:spacing w:after="227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_____________________________</w:t>
      </w:r>
    </w:p>
    <w:p w:rsidR="00156606" w:rsidRPr="00156606" w:rsidRDefault="00156606" w:rsidP="00156606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464C55"/>
          <w:sz w:val="18"/>
          <w:szCs w:val="18"/>
          <w:lang w:eastAsia="ru-RU"/>
        </w:rPr>
      </w:pPr>
      <w:proofErr w:type="gramStart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>* </w:t>
      </w:r>
      <w:hyperlink r:id="rId59" w:history="1">
        <w:r w:rsidRPr="00156606">
          <w:rPr>
            <w:rFonts w:eastAsia="Times New Roman" w:cs="Times New Roman"/>
            <w:color w:val="3272C0"/>
            <w:sz w:val="18"/>
            <w:u w:val="single"/>
            <w:lang w:eastAsia="ru-RU"/>
          </w:rPr>
          <w:t>Приказ</w:t>
        </w:r>
      </w:hyperlink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 Министерства здравоохранения и социального развития Российской Федерации от 23 марта 2012 г.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</w:t>
      </w:r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lastRenderedPageBreak/>
        <w:t>назначению и применению</w:t>
      </w:r>
      <w:proofErr w:type="gramEnd"/>
      <w:r w:rsidRPr="00156606">
        <w:rPr>
          <w:rFonts w:eastAsia="Times New Roman" w:cs="Times New Roman"/>
          <w:color w:val="464C55"/>
          <w:sz w:val="18"/>
          <w:szCs w:val="18"/>
          <w:lang w:eastAsia="ru-RU"/>
        </w:rPr>
        <w:t xml:space="preserve">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 г., регистрационный номер 23971).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65EA"/>
    <w:multiLevelType w:val="multilevel"/>
    <w:tmpl w:val="472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6606"/>
    <w:rsid w:val="00156606"/>
    <w:rsid w:val="0043343F"/>
    <w:rsid w:val="00545744"/>
    <w:rsid w:val="006875A4"/>
    <w:rsid w:val="008C48F0"/>
    <w:rsid w:val="009216A3"/>
    <w:rsid w:val="00C1744F"/>
    <w:rsid w:val="00CD21FB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56606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56606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156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566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156606"/>
    <w:rPr>
      <w:color w:val="0000FF"/>
      <w:u w:val="single"/>
    </w:rPr>
  </w:style>
  <w:style w:type="paragraph" w:customStyle="1" w:styleId="s3">
    <w:name w:val="s_3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156606"/>
  </w:style>
  <w:style w:type="paragraph" w:customStyle="1" w:styleId="s9">
    <w:name w:val="s_9"/>
    <w:basedOn w:val="a"/>
    <w:rsid w:val="001566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6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566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60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5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911">
                  <w:marLeft w:val="283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dotted" w:sz="4" w:space="0" w:color="3272C0"/>
                    <w:right w:val="none" w:sz="0" w:space="0" w:color="auto"/>
                  </w:divBdr>
                </w:div>
                <w:div w:id="70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3250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646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374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6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6038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89392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3967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1675990/" TargetMode="External"/><Relationship Id="rId18" Type="http://schemas.openxmlformats.org/officeDocument/2006/relationships/hyperlink" Target="http://base.garant.ru/4178356/" TargetMode="External"/><Relationship Id="rId26" Type="http://schemas.openxmlformats.org/officeDocument/2006/relationships/hyperlink" Target="http://base.garant.ru/70647158/" TargetMode="External"/><Relationship Id="rId39" Type="http://schemas.openxmlformats.org/officeDocument/2006/relationships/hyperlink" Target="http://base.garant.ru/70647158/" TargetMode="External"/><Relationship Id="rId21" Type="http://schemas.openxmlformats.org/officeDocument/2006/relationships/hyperlink" Target="http://base.garant.ru/70647158/" TargetMode="External"/><Relationship Id="rId34" Type="http://schemas.openxmlformats.org/officeDocument/2006/relationships/hyperlink" Target="http://base.garant.ru/70647158/" TargetMode="External"/><Relationship Id="rId42" Type="http://schemas.openxmlformats.org/officeDocument/2006/relationships/hyperlink" Target="http://base.garant.ru/70647158/" TargetMode="External"/><Relationship Id="rId47" Type="http://schemas.openxmlformats.org/officeDocument/2006/relationships/hyperlink" Target="http://base.garant.ru/70647158/" TargetMode="External"/><Relationship Id="rId50" Type="http://schemas.openxmlformats.org/officeDocument/2006/relationships/hyperlink" Target="http://base.garant.ru/71436258/" TargetMode="External"/><Relationship Id="rId55" Type="http://schemas.openxmlformats.org/officeDocument/2006/relationships/hyperlink" Target="http://base.garant.ru/12191967/4/" TargetMode="External"/><Relationship Id="rId7" Type="http://schemas.openxmlformats.org/officeDocument/2006/relationships/hyperlink" Target="http://base.garant.ru/7064715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180785/" TargetMode="External"/><Relationship Id="rId20" Type="http://schemas.openxmlformats.org/officeDocument/2006/relationships/hyperlink" Target="http://base.garant.ru/70647158/" TargetMode="External"/><Relationship Id="rId29" Type="http://schemas.openxmlformats.org/officeDocument/2006/relationships/hyperlink" Target="http://base.garant.ru/70647158/" TargetMode="External"/><Relationship Id="rId41" Type="http://schemas.openxmlformats.org/officeDocument/2006/relationships/hyperlink" Target="http://base.garant.ru/70647158/" TargetMode="External"/><Relationship Id="rId54" Type="http://schemas.openxmlformats.org/officeDocument/2006/relationships/hyperlink" Target="http://base.garant.ru/418078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647158/" TargetMode="External"/><Relationship Id="rId24" Type="http://schemas.openxmlformats.org/officeDocument/2006/relationships/hyperlink" Target="http://base.garant.ru/70647158/" TargetMode="External"/><Relationship Id="rId32" Type="http://schemas.openxmlformats.org/officeDocument/2006/relationships/hyperlink" Target="http://base.garant.ru/70647158/" TargetMode="External"/><Relationship Id="rId37" Type="http://schemas.openxmlformats.org/officeDocument/2006/relationships/hyperlink" Target="http://base.garant.ru/70647158/" TargetMode="External"/><Relationship Id="rId40" Type="http://schemas.openxmlformats.org/officeDocument/2006/relationships/hyperlink" Target="http://base.garant.ru/70647158/" TargetMode="External"/><Relationship Id="rId45" Type="http://schemas.openxmlformats.org/officeDocument/2006/relationships/hyperlink" Target="http://base.garant.ru/12174909/6/" TargetMode="External"/><Relationship Id="rId53" Type="http://schemas.openxmlformats.org/officeDocument/2006/relationships/hyperlink" Target="http://base.garant.ru/4180785/" TargetMode="External"/><Relationship Id="rId58" Type="http://schemas.openxmlformats.org/officeDocument/2006/relationships/hyperlink" Target="http://base.garant.ru/57424688/" TargetMode="External"/><Relationship Id="rId5" Type="http://schemas.openxmlformats.org/officeDocument/2006/relationships/hyperlink" Target="http://base.garant.ru/70647158/" TargetMode="External"/><Relationship Id="rId15" Type="http://schemas.openxmlformats.org/officeDocument/2006/relationships/hyperlink" Target="http://base.garant.ru/70647158/" TargetMode="External"/><Relationship Id="rId23" Type="http://schemas.openxmlformats.org/officeDocument/2006/relationships/hyperlink" Target="http://base.garant.ru/70647158/" TargetMode="External"/><Relationship Id="rId28" Type="http://schemas.openxmlformats.org/officeDocument/2006/relationships/hyperlink" Target="http://base.garant.ru/70647158/" TargetMode="External"/><Relationship Id="rId36" Type="http://schemas.openxmlformats.org/officeDocument/2006/relationships/hyperlink" Target="http://base.garant.ru/70647158/" TargetMode="External"/><Relationship Id="rId49" Type="http://schemas.openxmlformats.org/officeDocument/2006/relationships/hyperlink" Target="http://base.garant.ru/70170588/" TargetMode="External"/><Relationship Id="rId57" Type="http://schemas.openxmlformats.org/officeDocument/2006/relationships/hyperlink" Target="http://base.garant.ru/71675990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ase.garant.ru/12113020/4/" TargetMode="External"/><Relationship Id="rId19" Type="http://schemas.openxmlformats.org/officeDocument/2006/relationships/hyperlink" Target="http://base.garant.ru/70647158/" TargetMode="External"/><Relationship Id="rId31" Type="http://schemas.openxmlformats.org/officeDocument/2006/relationships/hyperlink" Target="http://base.garant.ru/70647158/" TargetMode="External"/><Relationship Id="rId44" Type="http://schemas.openxmlformats.org/officeDocument/2006/relationships/hyperlink" Target="http://base.garant.ru/57424688/" TargetMode="External"/><Relationship Id="rId52" Type="http://schemas.openxmlformats.org/officeDocument/2006/relationships/hyperlink" Target="http://base.garant.ru/70647158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3020/4/" TargetMode="External"/><Relationship Id="rId14" Type="http://schemas.openxmlformats.org/officeDocument/2006/relationships/hyperlink" Target="http://base.garant.ru/57424688/" TargetMode="External"/><Relationship Id="rId22" Type="http://schemas.openxmlformats.org/officeDocument/2006/relationships/hyperlink" Target="http://base.garant.ru/70647158/" TargetMode="External"/><Relationship Id="rId27" Type="http://schemas.openxmlformats.org/officeDocument/2006/relationships/hyperlink" Target="http://base.garant.ru/70647158/" TargetMode="External"/><Relationship Id="rId30" Type="http://schemas.openxmlformats.org/officeDocument/2006/relationships/hyperlink" Target="http://base.garant.ru/70647158/" TargetMode="External"/><Relationship Id="rId35" Type="http://schemas.openxmlformats.org/officeDocument/2006/relationships/hyperlink" Target="http://base.garant.ru/70647158/" TargetMode="External"/><Relationship Id="rId43" Type="http://schemas.openxmlformats.org/officeDocument/2006/relationships/hyperlink" Target="http://base.garant.ru/71675990/" TargetMode="External"/><Relationship Id="rId48" Type="http://schemas.openxmlformats.org/officeDocument/2006/relationships/hyperlink" Target="http://base.garant.ru/70647158/" TargetMode="External"/><Relationship Id="rId56" Type="http://schemas.openxmlformats.org/officeDocument/2006/relationships/hyperlink" Target="http://base.garant.ru/70647158/" TargetMode="External"/><Relationship Id="rId8" Type="http://schemas.openxmlformats.org/officeDocument/2006/relationships/hyperlink" Target="http://base.garant.ru/70647158/" TargetMode="External"/><Relationship Id="rId51" Type="http://schemas.openxmlformats.org/officeDocument/2006/relationships/hyperlink" Target="http://base.garant.ru/5741082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0647158/" TargetMode="External"/><Relationship Id="rId17" Type="http://schemas.openxmlformats.org/officeDocument/2006/relationships/hyperlink" Target="http://base.garant.ru/4180785/" TargetMode="External"/><Relationship Id="rId25" Type="http://schemas.openxmlformats.org/officeDocument/2006/relationships/hyperlink" Target="http://base.garant.ru/70647158/" TargetMode="External"/><Relationship Id="rId33" Type="http://schemas.openxmlformats.org/officeDocument/2006/relationships/hyperlink" Target="http://base.garant.ru/70647158/" TargetMode="External"/><Relationship Id="rId38" Type="http://schemas.openxmlformats.org/officeDocument/2006/relationships/hyperlink" Target="http://base.garant.ru/70647158/" TargetMode="External"/><Relationship Id="rId46" Type="http://schemas.openxmlformats.org/officeDocument/2006/relationships/hyperlink" Target="http://base.garant.ru/12191967/4/" TargetMode="External"/><Relationship Id="rId59" Type="http://schemas.openxmlformats.org/officeDocument/2006/relationships/hyperlink" Target="http://base.garant.ru/701705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4715</Words>
  <Characters>26879</Characters>
  <Application>Microsoft Office Word</Application>
  <DocSecurity>0</DocSecurity>
  <Lines>223</Lines>
  <Paragraphs>63</Paragraphs>
  <ScaleCrop>false</ScaleCrop>
  <Company>Microsoft</Company>
  <LinksUpToDate>false</LinksUpToDate>
  <CharactersWithSpaces>31531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2017-08-14T05:41:00Z</dcterms:created>
  <dcterms:modified xsi:type="dcterms:W3CDTF">2017-08-14T05:41:00Z</dcterms:modified>
</cp:coreProperties>
</file>